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Vitamin D deficiency (&lt;20 ng/mL) (odds ratio per 1-SD 0.75 (95% CI 0.70 to 0.80), false discovery rate q &lt;0.001) among 24836 adults aged 20 years or older (a weighted Vitamin D deficiency (&lt;20 ng/mL) prevalence of 24.5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0.75 (95% CI 0.70 to 0.80)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  <w:tc>
          <w:tcPr>
            <w:tcW w:type="dxa" w:w="2160"/>
          </w:tcPr>
          <w:p>
            <w:r>
              <w:t>168.7</w:t>
            </w:r>
          </w:p>
        </w:tc>
        <w:tc>
          <w:tcPr>
            <w:tcW w:type="dxa" w:w="2160"/>
          </w:tcPr>
          <w:p>
            <w:r>
              <w:t>167.6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