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Hepatic steatosis was positively associated with Vitamin D deficiency (&lt;20 ng/mL) (odds ratio 1.23 (95% CI 0.81 to 1.88), false discovery rate q 0.414)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1.23 (95% CI 0.81 to 1.88)</w:t>
            </w:r>
          </w:p>
        </w:tc>
        <w:tc>
          <w:tcPr>
            <w:tcW w:type="dxa" w:w="1234"/>
          </w:tcPr>
          <w:p>
            <w:r>
              <w:t>0.358</w:t>
            </w:r>
          </w:p>
        </w:tc>
        <w:tc>
          <w:tcPr>
            <w:tcW w:type="dxa" w:w="1234"/>
          </w:tcPr>
          <w:p>
            <w:r>
              <w:t>0.414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Hepatic steatosis (exposure)</w:t>
            </w:r>
          </w:p>
        </w:tc>
        <w:tc>
          <w:tcPr>
            <w:tcW w:type="dxa" w:w="2160"/>
          </w:tcPr>
          <w:p>
            <w:r>
              <w:t>56.3%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  <w:tc>
          <w:tcPr>
            <w:tcW w:type="dxa" w:w="2160"/>
          </w:tcPr>
          <w:p>
            <w:r>
              <w:t>58.5%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