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positively associated with Vitamin D deficiency (&lt;20 ng/mL) (odds ratio 1.05 (95% CI 0.87 to 1.27), false discovery rate q 0.659) among 24836 adults aged 20 years or older (a weighted Vitamin D deficiency (&lt;20 ng/mL) prevalence of 24.5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0.87 to 1.27)</w:t>
            </w:r>
          </w:p>
        </w:tc>
        <w:tc>
          <w:tcPr>
            <w:tcW w:type="dxa" w:w="1234"/>
          </w:tcPr>
          <w:p>
            <w:r>
              <w:t>0.610</w:t>
            </w:r>
          </w:p>
        </w:tc>
        <w:tc>
          <w:tcPr>
            <w:tcW w:type="dxa" w:w="1234"/>
          </w:tcPr>
          <w:p>
            <w:r>
              <w:t>0.659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10.2%</w:t>
            </w:r>
          </w:p>
        </w:tc>
        <w:tc>
          <w:tcPr>
            <w:tcW w:type="dxa" w:w="2160"/>
          </w:tcPr>
          <w:p>
            <w:r>
              <w:t>10.2%</w:t>
            </w:r>
          </w:p>
        </w:tc>
        <w:tc>
          <w:tcPr>
            <w:tcW w:type="dxa" w:w="2160"/>
          </w:tcPr>
          <w:p>
            <w:r>
              <w:t>10.1%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