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High non-HDL cholesterol (&gt;=190) and Vitamin D deficiency (&lt;20 ng/mL)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High non-HDL cholesterol (&gt;=190) was positively associated with Vitamin D deficiency (&lt;20 ng/mL) (odds ratio 1.01 (95% CI 0.90 to 1.13), false discovery rate q 0.893) among 24836 adults aged 20 years or older (a weighted Vitamin D deficiency (&lt;20 ng/mL) prevalence of 24.5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High non-HDL cholesterol (&gt;=190)</w:t>
            </w:r>
          </w:p>
        </w:tc>
        <w:tc>
          <w:tcPr>
            <w:tcW w:type="dxa" w:w="1234"/>
          </w:tcPr>
          <w:p>
            <w:r>
              <w:t>Vitamin D deficiency (&lt;20 ng/mL)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1.01 (95% CI 0.90 to 1.13)</w:t>
            </w:r>
          </w:p>
        </w:tc>
        <w:tc>
          <w:tcPr>
            <w:tcW w:type="dxa" w:w="1234"/>
          </w:tcPr>
          <w:p>
            <w:r>
              <w:t>0.874</w:t>
            </w:r>
          </w:p>
        </w:tc>
        <w:tc>
          <w:tcPr>
            <w:tcW w:type="dxa" w:w="1234"/>
          </w:tcPr>
          <w:p>
            <w:r>
              <w:t>0.893</w:t>
            </w:r>
          </w:p>
        </w:tc>
        <w:tc>
          <w:tcPr>
            <w:tcW w:type="dxa" w:w="1234"/>
          </w:tcPr>
          <w:p>
            <w:r>
              <w:t>24836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Vitamin D deficiency (&lt;20 ng/mL)</w:t>
            </w:r>
          </w:p>
        </w:tc>
        <w:tc>
          <w:tcPr>
            <w:tcW w:type="dxa" w:w="2160"/>
          </w:tcPr>
          <w:p>
            <w:r>
              <w:t>Vitamin D deficiency (&lt;20 ng/mL)</w:t>
            </w:r>
          </w:p>
        </w:tc>
      </w:tr>
      <w:tr>
        <w:tc>
          <w:tcPr>
            <w:tcW w:type="dxa" w:w="2160"/>
          </w:tcPr>
          <w:p>
            <w:r>
              <w:t>High non-HDL cholesterol (&gt;=190) (exposure)</w:t>
            </w:r>
          </w:p>
        </w:tc>
        <w:tc>
          <w:tcPr>
            <w:tcW w:type="dxa" w:w="2160"/>
          </w:tcPr>
          <w:p>
            <w:r>
              <w:t>11.6%</w:t>
            </w:r>
          </w:p>
        </w:tc>
        <w:tc>
          <w:tcPr>
            <w:tcW w:type="dxa" w:w="2160"/>
          </w:tcPr>
          <w:p>
            <w:r>
              <w:t>11.6%</w:t>
            </w:r>
          </w:p>
        </w:tc>
        <w:tc>
          <w:tcPr>
            <w:tcW w:type="dxa" w:w="2160"/>
          </w:tcPr>
          <w:p>
            <w:r>
              <w:t>11.6%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48.9</w:t>
            </w:r>
          </w:p>
        </w:tc>
        <w:tc>
          <w:tcPr>
            <w:tcW w:type="dxa" w:w="2160"/>
          </w:tcPr>
          <w:p>
            <w:r>
              <w:t>43.5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47.9%</w:t>
            </w:r>
          </w:p>
        </w:tc>
        <w:tc>
          <w:tcPr>
            <w:tcW w:type="dxa" w:w="2160"/>
          </w:tcPr>
          <w:p>
            <w:r>
              <w:t>48.3%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28.6</w:t>
            </w:r>
          </w:p>
        </w:tc>
        <w:tc>
          <w:tcPr>
            <w:tcW w:type="dxa" w:w="2160"/>
          </w:tcPr>
          <w:p>
            <w:r>
              <w:t>30.8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43.8%</w:t>
            </w:r>
          </w:p>
        </w:tc>
        <w:tc>
          <w:tcPr>
            <w:tcW w:type="dxa" w:w="2160"/>
          </w:tcPr>
          <w:p>
            <w:r>
              <w:t>41.4%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80.8%</w:t>
            </w:r>
          </w:p>
        </w:tc>
        <w:tc>
          <w:tcPr>
            <w:tcW w:type="dxa" w:w="2160"/>
          </w:tcPr>
          <w:p>
            <w:r>
              <w:t>82.8%</w:t>
            </w:r>
          </w:p>
        </w:tc>
        <w:tc>
          <w:tcPr>
            <w:tcW w:type="dxa" w:w="2160"/>
          </w:tcPr>
          <w:p>
            <w:r>
              <w:t>74.8%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