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Vitamin D deficiency (&lt;20 ng/mL) (odds ratio 1.27 (95% CI 1.15 to 1.41), false discovery rate q &lt;0.001)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1.15 to 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36.4%</w:t>
            </w:r>
          </w:p>
        </w:tc>
        <w:tc>
          <w:tcPr>
            <w:tcW w:type="dxa" w:w="2160"/>
          </w:tcPr>
          <w:p>
            <w:r>
              <w:t>35.7%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