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Vitamin D deficiency (&lt;20 ng/mL)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Hypertriglyceridemia (NCEP TG&gt;=150) was inversely associated with Vitamin D deficiency (&lt;20 ng/mL) (odds ratio 0.95 (95% CI 0.82 to 1.09), false discovery rate q 0.525) among 24836 adults aged 20 years or older (a weighted Vitamin D deficiency (&lt;20 ng/mL) prevalence of 24.5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0.95 (95% CI 0.82 to 1.09)</w:t>
            </w:r>
          </w:p>
        </w:tc>
        <w:tc>
          <w:tcPr>
            <w:tcW w:type="dxa" w:w="1234"/>
          </w:tcPr>
          <w:p>
            <w:r>
              <w:t>0.467</w:t>
            </w:r>
          </w:p>
        </w:tc>
        <w:tc>
          <w:tcPr>
            <w:tcW w:type="dxa" w:w="1234"/>
          </w:tcPr>
          <w:p>
            <w:r>
              <w:t>0.525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Hypertriglyceridemia (NCEP TG&gt;=150) (exposure)</w:t>
            </w:r>
          </w:p>
        </w:tc>
        <w:tc>
          <w:tcPr>
            <w:tcW w:type="dxa" w:w="2160"/>
          </w:tcPr>
          <w:p>
            <w:r>
              <w:t>24.9%</w:t>
            </w:r>
          </w:p>
        </w:tc>
        <w:tc>
          <w:tcPr>
            <w:tcW w:type="dxa" w:w="2160"/>
          </w:tcPr>
          <w:p>
            <w:r>
              <w:t>24.7%</w:t>
            </w:r>
          </w:p>
        </w:tc>
        <w:tc>
          <w:tcPr>
            <w:tcW w:type="dxa" w:w="2160"/>
          </w:tcPr>
          <w:p>
            <w:r>
              <w:t>25.6%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