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Vitamin D deficiency (&lt;20 ng/mL) (odds ratio per 1-SD 0.98 (95% CI 0.92 to 1.05), false discovery rate q 0.616)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0.92 to 1.05)</w:t>
            </w:r>
          </w:p>
        </w:tc>
        <w:tc>
          <w:tcPr>
            <w:tcW w:type="dxa" w:w="1234"/>
          </w:tcPr>
          <w:p>
            <w:r>
              <w:t>0.562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113.9</w:t>
            </w:r>
          </w:p>
        </w:tc>
        <w:tc>
          <w:tcPr>
            <w:tcW w:type="dxa" w:w="2160"/>
          </w:tcPr>
          <w:p>
            <w:r>
              <w:t>113.1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