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inversely associated with Vitamin D deficiency (&lt;20 ng/mL) (odds ratio 0.86 (95% CI 0.73 to 1.02), false discovery rate q 0.123)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0.73 to 1.02)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  <w:tc>
          <w:tcPr>
            <w:tcW w:type="dxa" w:w="1234"/>
          </w:tcPr>
          <w:p>
            <w:r>
              <w:t>0.123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