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Vitamin D deficiency (&lt;20 ng/mL) (odds ratio per 1-SD 1.10 (95% CI 0.94 to 1.28), false discovery rate q 0.312)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0.94 to 1.28)</w:t>
            </w:r>
          </w:p>
        </w:tc>
        <w:tc>
          <w:tcPr>
            <w:tcW w:type="dxa" w:w="1234"/>
          </w:tcPr>
          <w:p>
            <w:r>
              <w:t>0.260</w:t>
            </w:r>
          </w:p>
        </w:tc>
        <w:tc>
          <w:tcPr>
            <w:tcW w:type="dxa" w:w="1234"/>
          </w:tcPr>
          <w:p>
            <w:r>
              <w:t>0.312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5.8</w:t>
            </w:r>
          </w:p>
        </w:tc>
        <w:tc>
          <w:tcPr>
            <w:tcW w:type="dxa" w:w="2160"/>
          </w:tcPr>
          <w:p>
            <w:r>
              <w:t>6.8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