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Low HDL cholesterol and Vitamin D deficiency (&lt;20 ng/mL)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Low HDL cholesterol was positively associated with Vitamin D deficiency (&lt;20 ng/mL) (odds ratio 1.20 (95% CI 1.09 to 1.31), false discovery rate q &lt;0.001) among 24836 adults aged 20 years or older (a weighted Vitamin D deficiency (&lt;20 ng/mL) prevalence of 24.5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Low HDL cholesterol</w:t>
            </w:r>
          </w:p>
        </w:tc>
        <w:tc>
          <w:tcPr>
            <w:tcW w:type="dxa" w:w="1234"/>
          </w:tcPr>
          <w:p>
            <w:r>
              <w:t>Vitamin D deficiency (&lt;20 ng/mL)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1.20 (95% CI 1.09 to 1.31)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24836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Vitamin D deficiency (&lt;20 ng/mL)</w:t>
            </w:r>
          </w:p>
        </w:tc>
        <w:tc>
          <w:tcPr>
            <w:tcW w:type="dxa" w:w="2160"/>
          </w:tcPr>
          <w:p>
            <w:r>
              <w:t>Vitamin D deficiency (&lt;20 ng/mL)</w:t>
            </w:r>
          </w:p>
        </w:tc>
      </w:tr>
      <w:tr>
        <w:tc>
          <w:tcPr>
            <w:tcW w:type="dxa" w:w="2160"/>
          </w:tcPr>
          <w:p>
            <w:r>
              <w:t>Low HDL cholesterol (exposure)</w:t>
            </w:r>
          </w:p>
        </w:tc>
        <w:tc>
          <w:tcPr>
            <w:tcW w:type="dxa" w:w="2160"/>
          </w:tcPr>
          <w:p>
            <w:r>
              <w:t>29.1%</w:t>
            </w:r>
          </w:p>
        </w:tc>
        <w:tc>
          <w:tcPr>
            <w:tcW w:type="dxa" w:w="2160"/>
          </w:tcPr>
          <w:p>
            <w:r>
              <w:t>26.9%</w:t>
            </w:r>
          </w:p>
        </w:tc>
        <w:tc>
          <w:tcPr>
            <w:tcW w:type="dxa" w:w="2160"/>
          </w:tcPr>
          <w:p>
            <w:r>
              <w:t>36.0%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48.9</w:t>
            </w:r>
          </w:p>
        </w:tc>
        <w:tc>
          <w:tcPr>
            <w:tcW w:type="dxa" w:w="2160"/>
          </w:tcPr>
          <w:p>
            <w:r>
              <w:t>43.5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47.9%</w:t>
            </w:r>
          </w:p>
        </w:tc>
        <w:tc>
          <w:tcPr>
            <w:tcW w:type="dxa" w:w="2160"/>
          </w:tcPr>
          <w:p>
            <w:r>
              <w:t>48.3%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28.6</w:t>
            </w:r>
          </w:p>
        </w:tc>
        <w:tc>
          <w:tcPr>
            <w:tcW w:type="dxa" w:w="2160"/>
          </w:tcPr>
          <w:p>
            <w:r>
              <w:t>30.8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43.8%</w:t>
            </w:r>
          </w:p>
        </w:tc>
        <w:tc>
          <w:tcPr>
            <w:tcW w:type="dxa" w:w="2160"/>
          </w:tcPr>
          <w:p>
            <w:r>
              <w:t>41.4%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80.8%</w:t>
            </w:r>
          </w:p>
        </w:tc>
        <w:tc>
          <w:tcPr>
            <w:tcW w:type="dxa" w:w="2160"/>
          </w:tcPr>
          <w:p>
            <w:r>
              <w:t>82.8%</w:t>
            </w:r>
          </w:p>
        </w:tc>
        <w:tc>
          <w:tcPr>
            <w:tcW w:type="dxa" w:w="2160"/>
          </w:tcPr>
          <w:p>
            <w:r>
              <w:t>74.8%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