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positively associated with Vitamin D deficiency (&lt;20 ng/mL) (odds ratio 1.06 (95% CI 0.74 to 1.52), false discovery rate q 0.780)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0.74 to 1.52)</w:t>
            </w:r>
          </w:p>
        </w:tc>
        <w:tc>
          <w:tcPr>
            <w:tcW w:type="dxa" w:w="1234"/>
          </w:tcPr>
          <w:p>
            <w:r>
              <w:t>0.748</w:t>
            </w:r>
          </w:p>
        </w:tc>
        <w:tc>
          <w:tcPr>
            <w:tcW w:type="dxa" w:w="1234"/>
          </w:tcPr>
          <w:p>
            <w:r>
              <w:t>0.780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