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Vitamin D deficiency (&lt;20 ng/mL) (odds ratio per 1-SD 1.00 (95% CI 0.94 to 1.07), false discovery rate q 0.977)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0.94 to 1.07)</w:t>
            </w:r>
          </w:p>
        </w:tc>
        <w:tc>
          <w:tcPr>
            <w:tcW w:type="dxa" w:w="1234"/>
          </w:tcPr>
          <w:p>
            <w:r>
              <w:t>0.972</w:t>
            </w:r>
          </w:p>
        </w:tc>
        <w:tc>
          <w:tcPr>
            <w:tcW w:type="dxa" w:w="1234"/>
          </w:tcPr>
          <w:p>
            <w:r>
              <w:t>0.977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