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Vitamin D deficiency (&lt;20 ng/mL) (odds ratio 1.19 (95% CI 0.87 to 1.62), false discovery rate q 0.364)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0.87 to 1.62)</w:t>
            </w:r>
          </w:p>
        </w:tc>
        <w:tc>
          <w:tcPr>
            <w:tcW w:type="dxa" w:w="1234"/>
          </w:tcPr>
          <w:p>
            <w:r>
              <w:t>0.310</w:t>
            </w:r>
          </w:p>
        </w:tc>
        <w:tc>
          <w:tcPr>
            <w:tcW w:type="dxa" w:w="1234"/>
          </w:tcPr>
          <w:p>
            <w:r>
              <w:t>0.364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