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Male sex and Vitamin D deficiency (&lt;20 ng/mL)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Male sex was positively associated with Vitamin D deficiency (&lt;20 ng/mL) (odds ratio 1.02 (95% CI 0.94 to 1.10), false discovery rate q 0.733) among 24836 adults aged 20 years or older (a weighted Vitamin D deficiency (&lt;20 ng/mL) prevalence of 24.5 percent, 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Male sex</w:t>
            </w:r>
          </w:p>
        </w:tc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1.02 (95% CI 0.94 to 1.10)</w:t>
            </w:r>
          </w:p>
        </w:tc>
        <w:tc>
          <w:tcPr>
            <w:tcW w:type="dxa" w:w="1234"/>
          </w:tcPr>
          <w:p>
            <w:r>
              <w:t>0.691</w:t>
            </w:r>
          </w:p>
        </w:tc>
        <w:tc>
          <w:tcPr>
            <w:tcW w:type="dxa" w:w="1234"/>
          </w:tcPr>
          <w:p>
            <w:r>
              <w:t>0.733</w:t>
            </w:r>
          </w:p>
        </w:tc>
        <w:tc>
          <w:tcPr>
            <w:tcW w:type="dxa" w:w="1234"/>
          </w:tcPr>
          <w:p>
            <w:r>
              <w:t>24836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Vitamin D deficiency (&lt;20 ng/mL)</w:t>
            </w:r>
          </w:p>
        </w:tc>
        <w:tc>
          <w:tcPr>
            <w:tcW w:type="dxa" w:w="2160"/>
          </w:tcPr>
          <w:p>
            <w:r>
              <w:t>Vitamin D deficiency (&lt;20 ng/mL)</w:t>
            </w:r>
          </w:p>
        </w:tc>
      </w:tr>
      <w:tr>
        <w:tc>
          <w:tcPr>
            <w:tcW w:type="dxa" w:w="2160"/>
          </w:tcPr>
          <w:p>
            <w:r>
              <w:t>Male sex (exposure)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48.9</w:t>
            </w:r>
          </w:p>
        </w:tc>
        <w:tc>
          <w:tcPr>
            <w:tcW w:type="dxa" w:w="2160"/>
          </w:tcPr>
          <w:p>
            <w:r>
              <w:t>43.5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30.8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  <w:tc>
          <w:tcPr>
            <w:tcW w:type="dxa" w:w="2160"/>
          </w:tcPr>
          <w:p>
            <w:r>
              <w:t>74.8%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