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Vitamin D deficiency (&lt;20 ng/mL) (odds ratio per 1-SD 0.98 (95% CI 0.94 to 1.02), false discovery rate q 0.375) among 24836 adults aged 20 years or older (a weighted Vitamin D deficiency (&lt;20 ng/mL) prevalence of 24.5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0.98 (95% CI 0.94 to 1.02)</w:t>
            </w:r>
          </w:p>
        </w:tc>
        <w:tc>
          <w:tcPr>
            <w:tcW w:type="dxa" w:w="1234"/>
          </w:tcPr>
          <w:p>
            <w:r>
              <w:t>0.320</w:t>
            </w:r>
          </w:p>
        </w:tc>
        <w:tc>
          <w:tcPr>
            <w:tcW w:type="dxa" w:w="1234"/>
          </w:tcPr>
          <w:p>
            <w:r>
              <w:t>0.375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139.9</w:t>
            </w:r>
          </w:p>
        </w:tc>
        <w:tc>
          <w:tcPr>
            <w:tcW w:type="dxa" w:w="2160"/>
          </w:tcPr>
          <w:p>
            <w:r>
              <w:t>140.0</w:t>
            </w:r>
          </w:p>
        </w:tc>
        <w:tc>
          <w:tcPr>
            <w:tcW w:type="dxa" w:w="2160"/>
          </w:tcPr>
          <w:p>
            <w:r>
              <w:t>139.4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