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Vitamin D deficiency (&lt;20 ng/mL) (odds ratio per 1-SD 1.06 (95% CI 1.01 to 1.11), false discovery rate q 0.027)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1.01 to 1.11)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249.1</w:t>
            </w:r>
          </w:p>
        </w:tc>
        <w:tc>
          <w:tcPr>
            <w:tcW w:type="dxa" w:w="2160"/>
          </w:tcPr>
          <w:p>
            <w:r>
              <w:t>246.8</w:t>
            </w:r>
          </w:p>
        </w:tc>
        <w:tc>
          <w:tcPr>
            <w:tcW w:type="dxa" w:w="2160"/>
          </w:tcPr>
          <w:p>
            <w:r>
              <w:t>256.1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