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Vitamin D deficiency (&lt;20 ng/mL) (odds ratio 1.11 (95% CI 1.01 to 1.23), false discovery rate q 0.045)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1.01 to 1.23)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32.7%</w:t>
            </w:r>
          </w:p>
        </w:tc>
        <w:tc>
          <w:tcPr>
            <w:tcW w:type="dxa" w:w="2160"/>
          </w:tcPr>
          <w:p>
            <w:r>
              <w:t>32.6%</w:t>
            </w:r>
          </w:p>
        </w:tc>
        <w:tc>
          <w:tcPr>
            <w:tcW w:type="dxa" w:w="2160"/>
          </w:tcPr>
          <w:p>
            <w:r>
              <w:t>33.1%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