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Vitamin D deficiency (&lt;20 ng/mL) (odds ratio per 1-SD 0.87 (95% CI 0.71 to 1.08), false discovery rate q 0.257)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0.71 to 1.08)</w:t>
            </w:r>
          </w:p>
        </w:tc>
        <w:tc>
          <w:tcPr>
            <w:tcW w:type="dxa" w:w="1234"/>
          </w:tcPr>
          <w:p>
            <w:r>
              <w:t>0.210</w:t>
            </w:r>
          </w:p>
        </w:tc>
        <w:tc>
          <w:tcPr>
            <w:tcW w:type="dxa" w:w="1234"/>
          </w:tcPr>
          <w:p>
            <w:r>
              <w:t>0.257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