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Vitamin D deficiency (&lt;20 ng/mL) (odds ratio per 1-SD 0.95 (95% CI 0.91 to 0.99), false discovery rate q 0.041)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0.91 to 0.99)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193.6</w:t>
            </w:r>
          </w:p>
        </w:tc>
        <w:tc>
          <w:tcPr>
            <w:tcW w:type="dxa" w:w="2160"/>
          </w:tcPr>
          <w:p>
            <w:r>
              <w:t>194.6</w:t>
            </w:r>
          </w:p>
        </w:tc>
        <w:tc>
          <w:tcPr>
            <w:tcW w:type="dxa" w:w="2160"/>
          </w:tcPr>
          <w:p>
            <w:r>
              <w:t>190.6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