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Vitamin D deficiency (&lt;20 ng/mL) (odds ratio per 1-SD 1.00 (95% CI 0.94 to 1.07), false discovery rate q 0.975)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0.94 to 1.07)</w:t>
            </w:r>
          </w:p>
        </w:tc>
        <w:tc>
          <w:tcPr>
            <w:tcW w:type="dxa" w:w="1234"/>
          </w:tcPr>
          <w:p>
            <w:r>
              <w:t>0.969</w:t>
            </w:r>
          </w:p>
        </w:tc>
        <w:tc>
          <w:tcPr>
            <w:tcW w:type="dxa" w:w="1234"/>
          </w:tcPr>
          <w:p>
            <w:r>
              <w:t>0.975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123.7</w:t>
            </w:r>
          </w:p>
        </w:tc>
        <w:tc>
          <w:tcPr>
            <w:tcW w:type="dxa" w:w="2160"/>
          </w:tcPr>
          <w:p>
            <w:r>
              <w:t>123.1</w:t>
            </w:r>
          </w:p>
        </w:tc>
        <w:tc>
          <w:tcPr>
            <w:tcW w:type="dxa" w:w="2160"/>
          </w:tcPr>
          <w:p>
            <w:r>
              <w:t>125.6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