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Vitamin D deficiency (&lt;20 ng/mL) (odds ratio per 1-SD 1.33 (95% CI 1.28 to 1.38), false discovery rate q &lt;0.001) among 24836 adults aged 20 years or older (a weighted Vitamin D deficiency (&lt;20 ng/mL) prevalence of 24.5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1.33 (95% CI 1.28 to 1.38)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99.3</w:t>
            </w:r>
          </w:p>
        </w:tc>
        <w:tc>
          <w:tcPr>
            <w:tcW w:type="dxa" w:w="2160"/>
          </w:tcPr>
          <w:p>
            <w:r>
              <w:t>98.4</w:t>
            </w:r>
          </w:p>
        </w:tc>
        <w:tc>
          <w:tcPr>
            <w:tcW w:type="dxa" w:w="2160"/>
          </w:tcPr>
          <w:p>
            <w:r>
              <w:t>102.0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