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White blood cell count, 10^3/uL and Vitamin D deficiency (&lt;20 ng/mL)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White blood cell count, 10^3/uL was inversely associated with Vitamin D deficiency (&lt;20 ng/mL) (odds ratio per 1-SD 0.97 (95% CI 0.89 to 1.05), false discovery rate q 0.471) among 24836 adults aged 20 years or older (a weighted Vitamin D deficiency (&lt;20 ng/mL) prevalence of 24.5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White blood cell count, 10^3/uL</w:t>
            </w:r>
          </w:p>
        </w:tc>
        <w:tc>
          <w:tcPr>
            <w:tcW w:type="dxa" w:w="1234"/>
          </w:tcPr>
          <w:p>
            <w:r>
              <w:t>Vitamin D deficiency (&lt;20 ng/mL)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0.97 (95% CI 0.89 to 1.05)</w:t>
            </w:r>
          </w:p>
        </w:tc>
        <w:tc>
          <w:tcPr>
            <w:tcW w:type="dxa" w:w="1234"/>
          </w:tcPr>
          <w:p>
            <w:r>
              <w:t>0.413</w:t>
            </w:r>
          </w:p>
        </w:tc>
        <w:tc>
          <w:tcPr>
            <w:tcW w:type="dxa" w:w="1234"/>
          </w:tcPr>
          <w:p>
            <w:r>
              <w:t>0.471</w:t>
            </w:r>
          </w:p>
        </w:tc>
        <w:tc>
          <w:tcPr>
            <w:tcW w:type="dxa" w:w="1234"/>
          </w:tcPr>
          <w:p>
            <w:r>
              <w:t>24836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Vitamin D deficiency (&lt;20 ng/mL)</w:t>
            </w:r>
          </w:p>
        </w:tc>
        <w:tc>
          <w:tcPr>
            <w:tcW w:type="dxa" w:w="2160"/>
          </w:tcPr>
          <w:p>
            <w:r>
              <w:t>Vitamin D deficiency (&lt;20 ng/mL)</w:t>
            </w:r>
          </w:p>
        </w:tc>
      </w:tr>
      <w:tr>
        <w:tc>
          <w:tcPr>
            <w:tcW w:type="dxa" w:w="2160"/>
          </w:tcPr>
          <w:p>
            <w:r>
              <w:t>White blood cell count, 10^3/uL (exposure)</w:t>
            </w:r>
          </w:p>
        </w:tc>
        <w:tc>
          <w:tcPr>
            <w:tcW w:type="dxa" w:w="2160"/>
          </w:tcPr>
          <w:p>
            <w:r>
              <w:t>7.2</w:t>
            </w:r>
          </w:p>
        </w:tc>
        <w:tc>
          <w:tcPr>
            <w:tcW w:type="dxa" w:w="2160"/>
          </w:tcPr>
          <w:p>
            <w:r>
              <w:t>7.2</w:t>
            </w:r>
          </w:p>
        </w:tc>
        <w:tc>
          <w:tcPr>
            <w:tcW w:type="dxa" w:w="2160"/>
          </w:tcPr>
          <w:p>
            <w:r>
              <w:t>7.3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48.9</w:t>
            </w:r>
          </w:p>
        </w:tc>
        <w:tc>
          <w:tcPr>
            <w:tcW w:type="dxa" w:w="2160"/>
          </w:tcPr>
          <w:p>
            <w:r>
              <w:t>43.5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48.0%</w:t>
            </w:r>
          </w:p>
        </w:tc>
        <w:tc>
          <w:tcPr>
            <w:tcW w:type="dxa" w:w="2160"/>
          </w:tcPr>
          <w:p>
            <w:r>
              <w:t>47.9%</w:t>
            </w:r>
          </w:p>
        </w:tc>
        <w:tc>
          <w:tcPr>
            <w:tcW w:type="dxa" w:w="2160"/>
          </w:tcPr>
          <w:p>
            <w:r>
              <w:t>48.3%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28.6</w:t>
            </w:r>
          </w:p>
        </w:tc>
        <w:tc>
          <w:tcPr>
            <w:tcW w:type="dxa" w:w="2160"/>
          </w:tcPr>
          <w:p>
            <w:r>
              <w:t>30.8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43.8%</w:t>
            </w:r>
          </w:p>
        </w:tc>
        <w:tc>
          <w:tcPr>
            <w:tcW w:type="dxa" w:w="2160"/>
          </w:tcPr>
          <w:p>
            <w:r>
              <w:t>41.4%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80.8%</w:t>
            </w:r>
          </w:p>
        </w:tc>
        <w:tc>
          <w:tcPr>
            <w:tcW w:type="dxa" w:w="2160"/>
          </w:tcPr>
          <w:p>
            <w:r>
              <w:t>82.8%</w:t>
            </w:r>
          </w:p>
        </w:tc>
        <w:tc>
          <w:tcPr>
            <w:tcW w:type="dxa" w:w="2160"/>
          </w:tcPr>
          <w:p>
            <w:r>
              <w:t>74.8%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