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Current smoking and Waist-to-height ratio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Current smoking was positively associated with Waist-to-height ratio (beta coefficient 0.01 (95% CI 0.01 to 0.01), false discovery rate q &lt;0.001) among 25250 adults aged 20 years or older (survey-weighted). Confounders: Age, years, Male sex,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0.01 (95% CI 0.01 to 0.01)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25250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Current smoking (exposure)</w:t>
            </w:r>
          </w:p>
        </w:tc>
        <w:tc>
          <w:tcPr>
            <w:tcW w:type="dxa" w:w="4320"/>
          </w:tcPr>
          <w:p>
            <w:r>
              <w:t>19.6%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48.4%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