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Hypertension and Weight, kg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Hypertension was inversely associated with Weight, kg (beta coefficient -0.03 (95% CI -0.33 to 0.28), false discovery rate q 0.882) among 26544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-0.03 (95% CI -0.33 to 0.28)</w:t>
            </w:r>
          </w:p>
        </w:tc>
        <w:tc>
          <w:tcPr>
            <w:tcW w:type="dxa" w:w="1234"/>
          </w:tcPr>
          <w:p>
            <w:r>
              <w:t>0.861</w:t>
            </w:r>
          </w:p>
        </w:tc>
        <w:tc>
          <w:tcPr>
            <w:tcW w:type="dxa" w:w="1234"/>
          </w:tcPr>
          <w:p>
            <w:r>
              <w:t>0.882</w:t>
            </w:r>
          </w:p>
        </w:tc>
        <w:tc>
          <w:tcPr>
            <w:tcW w:type="dxa" w:w="1234"/>
          </w:tcPr>
          <w:p>
            <w:r>
              <w:t>26544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Hypertension (exposure)</w:t>
            </w:r>
          </w:p>
        </w:tc>
        <w:tc>
          <w:tcPr>
            <w:tcW w:type="dxa" w:w="4320"/>
          </w:tcPr>
          <w:p>
            <w:r>
              <w:t>36.0%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