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White blood cell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Alanine aminotransferase, IU/L was inversely associated with White blood cell count, 10^3/uL (beta coefficient per 1-SD -0.04 (95% CI -0.07 to -0.01), false discovery rate q 0.033)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-0.04 (95% CI -0.07 to -0.01)</w:t>
            </w:r>
          </w:p>
        </w:tc>
        <w:tc>
          <w:tcPr>
            <w:tcW w:type="dxa" w:w="1234"/>
          </w:tcPr>
          <w:p>
            <w:r>
              <w:t>0.022</w:t>
            </w:r>
          </w:p>
        </w:tc>
        <w:tc>
          <w:tcPr>
            <w:tcW w:type="dxa" w:w="1234"/>
          </w:tcPr>
          <w:p>
            <w:r>
              <w:t>0.033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Alanine aminotransferase, IU/L (exposure)</w:t>
            </w:r>
          </w:p>
        </w:tc>
        <w:tc>
          <w:tcPr>
            <w:tcW w:type="dxa" w:w="4320"/>
          </w:tcPr>
          <w:p>
            <w:r>
              <w:t>24.9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