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Incidence/Prevalence Trend Report</w:t>
      </w:r>
    </w:p>
    <w:p>
      <w:r>
        <w:t>High non-HDL cholesterol (&gt;=190) · NHANES · 2005-2021 · survey-weighted</w:t>
      </w:r>
    </w:p>
    <w:p>
      <w:pPr>
        <w:pStyle w:val="Heading1"/>
      </w:pPr>
      <w:r>
        <w:t>Figure. Incidence/prevalence trend</w:t>
      </w:r>
    </w:p>
    <w:p>
      <w:r>
        <w:drawing>
          <wp:inline xmlns:a="http://schemas.openxmlformats.org/drawingml/2006/main" xmlns:pic="http://schemas.openxmlformats.org/drawingml/2006/picture">
            <wp:extent cx="5486400" cy="3097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7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Counts by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2005</w:t>
            </w:r>
          </w:p>
        </w:tc>
        <w:tc>
          <w:tcPr>
            <w:tcW w:type="dxa" w:w="4320"/>
          </w:tcPr>
          <w:p>
            <w:r>
              <w:t>618</w:t>
            </w:r>
          </w:p>
        </w:tc>
      </w:tr>
      <w:tr>
        <w:tc>
          <w:tcPr>
            <w:tcW w:type="dxa" w:w="4320"/>
          </w:tcPr>
          <w:p>
            <w:r>
              <w:t>2007</w:t>
            </w:r>
          </w:p>
        </w:tc>
        <w:tc>
          <w:tcPr>
            <w:tcW w:type="dxa" w:w="4320"/>
          </w:tcPr>
          <w:p>
            <w:r>
              <w:t>762</w:t>
            </w:r>
          </w:p>
        </w:tc>
      </w:tr>
      <w:tr>
        <w:tc>
          <w:tcPr>
            <w:tcW w:type="dxa" w:w="4320"/>
          </w:tcPr>
          <w:p>
            <w:r>
              <w:t>2009</w:t>
            </w:r>
          </w:p>
        </w:tc>
        <w:tc>
          <w:tcPr>
            <w:tcW w:type="dxa" w:w="4320"/>
          </w:tcPr>
          <w:p>
            <w:r>
              <w:t>738</w:t>
            </w:r>
          </w:p>
        </w:tc>
      </w:tr>
      <w:tr>
        <w:tc>
          <w:tcPr>
            <w:tcW w:type="dxa" w:w="4320"/>
          </w:tcPr>
          <w:p>
            <w:r>
              <w:t>2011</w:t>
            </w:r>
          </w:p>
        </w:tc>
        <w:tc>
          <w:tcPr>
            <w:tcW w:type="dxa" w:w="4320"/>
          </w:tcPr>
          <w:p>
            <w:r>
              <w:t>562</w:t>
            </w:r>
          </w:p>
        </w:tc>
      </w:tr>
      <w:tr>
        <w:tc>
          <w:tcPr>
            <w:tcW w:type="dxa" w:w="4320"/>
          </w:tcPr>
          <w:p>
            <w:r>
              <w:t>2013</w:t>
            </w:r>
          </w:p>
        </w:tc>
        <w:tc>
          <w:tcPr>
            <w:tcW w:type="dxa" w:w="4320"/>
          </w:tcPr>
          <w:p>
            <w:r>
              <w:t>537</w:t>
            </w:r>
          </w:p>
        </w:tc>
      </w:tr>
      <w:tr>
        <w:tc>
          <w:tcPr>
            <w:tcW w:type="dxa" w:w="4320"/>
          </w:tcPr>
          <w:p>
            <w:r>
              <w:t>2015</w:t>
            </w:r>
          </w:p>
        </w:tc>
        <w:tc>
          <w:tcPr>
            <w:tcW w:type="dxa" w:w="4320"/>
          </w:tcPr>
          <w:p>
            <w:r>
              <w:t>551</w:t>
            </w:r>
          </w:p>
        </w:tc>
      </w:tr>
      <w:tr>
        <w:tc>
          <w:tcPr>
            <w:tcW w:type="dxa" w:w="4320"/>
          </w:tcPr>
          <w:p>
            <w:r>
              <w:t>2017</w:t>
            </w:r>
          </w:p>
        </w:tc>
        <w:tc>
          <w:tcPr>
            <w:tcW w:type="dxa" w:w="4320"/>
          </w:tcPr>
          <w:p>
            <w:r>
              <w:t>480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507</w:t>
            </w:r>
          </w:p>
        </w:tc>
      </w:tr>
    </w:tbl>
    <w:p>
      <w:pPr>
        <w:pStyle w:val="Heading1"/>
      </w:pPr>
      <w:r>
        <w:t>Crude and age-sex standardized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crude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</w:tr>
      <w:tr>
        <w:tc>
          <w:tcPr>
            <w:tcW w:type="dxa" w:w="2880"/>
          </w:tcPr>
          <w:p>
            <w:r>
              <w:t>2005.00</w:t>
            </w:r>
          </w:p>
        </w:tc>
        <w:tc>
          <w:tcPr>
            <w:tcW w:type="dxa" w:w="2880"/>
          </w:tcPr>
          <w:p>
            <w:r>
              <w:t>13.92</w:t>
            </w:r>
          </w:p>
        </w:tc>
        <w:tc>
          <w:tcPr>
            <w:tcW w:type="dxa" w:w="2880"/>
          </w:tcPr>
          <w:p>
            <w:r>
              <w:t>13.97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14.05</w:t>
            </w:r>
          </w:p>
        </w:tc>
        <w:tc>
          <w:tcPr>
            <w:tcW w:type="dxa" w:w="2880"/>
          </w:tcPr>
          <w:p>
            <w:r>
              <w:t>13.93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12.78</w:t>
            </w:r>
          </w:p>
        </w:tc>
        <w:tc>
          <w:tcPr>
            <w:tcW w:type="dxa" w:w="2880"/>
          </w:tcPr>
          <w:p>
            <w:r>
              <w:t>12.76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11.86</w:t>
            </w:r>
          </w:p>
        </w:tc>
        <w:tc>
          <w:tcPr>
            <w:tcW w:type="dxa" w:w="2880"/>
          </w:tcPr>
          <w:p>
            <w:r>
              <w:t>11.76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10.00</w:t>
            </w:r>
          </w:p>
        </w:tc>
        <w:tc>
          <w:tcPr>
            <w:tcW w:type="dxa" w:w="2880"/>
          </w:tcPr>
          <w:p>
            <w:r>
              <w:t>10.03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10.64</w:t>
            </w:r>
          </w:p>
        </w:tc>
        <w:tc>
          <w:tcPr>
            <w:tcW w:type="dxa" w:w="2880"/>
          </w:tcPr>
          <w:p>
            <w:r>
              <w:t>10.66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9.76</w:t>
            </w:r>
          </w:p>
        </w:tc>
        <w:tc>
          <w:tcPr>
            <w:tcW w:type="dxa" w:w="2880"/>
          </w:tcPr>
          <w:p>
            <w:r>
              <w:t>9.70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9.75</w:t>
            </w:r>
          </w:p>
        </w:tc>
        <w:tc>
          <w:tcPr>
            <w:tcW w:type="dxa" w:w="2880"/>
          </w:tcPr>
          <w:p>
            <w:r>
              <w:t>9.93</w:t>
            </w:r>
          </w:p>
        </w:tc>
      </w:tr>
    </w:tbl>
    <w:p>
      <w:pPr>
        <w:pStyle w:val="Heading1"/>
      </w:pPr>
      <w:r>
        <w:t>Projection (linear, standardized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2022.00</w:t>
            </w:r>
          </w:p>
        </w:tc>
        <w:tc>
          <w:tcPr>
            <w:tcW w:type="dxa" w:w="2160"/>
          </w:tcPr>
          <w:p>
            <w:r>
              <w:t>8.62</w:t>
            </w:r>
          </w:p>
        </w:tc>
        <w:tc>
          <w:tcPr>
            <w:tcW w:type="dxa" w:w="2160"/>
          </w:tcPr>
          <w:p>
            <w:r>
              <w:t>6.69</w:t>
            </w:r>
          </w:p>
        </w:tc>
        <w:tc>
          <w:tcPr>
            <w:tcW w:type="dxa" w:w="2160"/>
          </w:tcPr>
          <w:p>
            <w:r>
              <w:t>10.56</w:t>
            </w:r>
          </w:p>
        </w:tc>
      </w:tr>
      <w:tr>
        <w:tc>
          <w:tcPr>
            <w:tcW w:type="dxa" w:w="2160"/>
          </w:tcPr>
          <w:p>
            <w:r>
              <w:t>2023.00</w:t>
            </w:r>
          </w:p>
        </w:tc>
        <w:tc>
          <w:tcPr>
            <w:tcW w:type="dxa" w:w="2160"/>
          </w:tcPr>
          <w:p>
            <w:r>
              <w:t>8.32</w:t>
            </w:r>
          </w:p>
        </w:tc>
        <w:tc>
          <w:tcPr>
            <w:tcW w:type="dxa" w:w="2160"/>
          </w:tcPr>
          <w:p>
            <w:r>
              <w:t>6.33</w:t>
            </w:r>
          </w:p>
        </w:tc>
        <w:tc>
          <w:tcPr>
            <w:tcW w:type="dxa" w:w="2160"/>
          </w:tcPr>
          <w:p>
            <w:r>
              <w:t>10.31</w:t>
            </w:r>
          </w:p>
        </w:tc>
      </w:tr>
      <w:tr>
        <w:tc>
          <w:tcPr>
            <w:tcW w:type="dxa" w:w="2160"/>
          </w:tcPr>
          <w:p>
            <w:r>
              <w:t>2024.00</w:t>
            </w:r>
          </w:p>
        </w:tc>
        <w:tc>
          <w:tcPr>
            <w:tcW w:type="dxa" w:w="2160"/>
          </w:tcPr>
          <w:p>
            <w:r>
              <w:t>8.02</w:t>
            </w:r>
          </w:p>
        </w:tc>
        <w:tc>
          <w:tcPr>
            <w:tcW w:type="dxa" w:w="2160"/>
          </w:tcPr>
          <w:p>
            <w:r>
              <w:t>5.96</w:t>
            </w:r>
          </w:p>
        </w:tc>
        <w:tc>
          <w:tcPr>
            <w:tcW w:type="dxa" w:w="2160"/>
          </w:tcPr>
          <w:p>
            <w:r>
              <w:t>10.07</w:t>
            </w:r>
          </w:p>
        </w:tc>
      </w:tr>
    </w:tbl>
    <w:p>
      <w:pPr>
        <w:pStyle w:val="Heading1"/>
      </w:pPr>
      <w:r>
        <w:t>Stratified trend by sex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men</w:t>
            </w:r>
          </w:p>
        </w:tc>
        <w:tc>
          <w:tcPr>
            <w:tcW w:type="dxa" w:w="2880"/>
          </w:tcPr>
          <w:p>
            <w:r>
              <w:t>women</w:t>
            </w:r>
          </w:p>
        </w:tc>
      </w:tr>
      <w:tr>
        <w:tc>
          <w:tcPr>
            <w:tcW w:type="dxa" w:w="2880"/>
          </w:tcPr>
          <w:p>
            <w:r>
              <w:t>2005.00</w:t>
            </w:r>
          </w:p>
        </w:tc>
        <w:tc>
          <w:tcPr>
            <w:tcW w:type="dxa" w:w="2880"/>
          </w:tcPr>
          <w:p>
            <w:r>
              <w:t>15.10</w:t>
            </w:r>
          </w:p>
        </w:tc>
        <w:tc>
          <w:tcPr>
            <w:tcW w:type="dxa" w:w="2880"/>
          </w:tcPr>
          <w:p>
            <w:r>
              <w:t>12.83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16.21</w:t>
            </w:r>
          </w:p>
        </w:tc>
        <w:tc>
          <w:tcPr>
            <w:tcW w:type="dxa" w:w="2880"/>
          </w:tcPr>
          <w:p>
            <w:r>
              <w:t>12.04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13.91</w:t>
            </w:r>
          </w:p>
        </w:tc>
        <w:tc>
          <w:tcPr>
            <w:tcW w:type="dxa" w:w="2880"/>
          </w:tcPr>
          <w:p>
            <w:r>
              <w:t>11.72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13.15</w:t>
            </w:r>
          </w:p>
        </w:tc>
        <w:tc>
          <w:tcPr>
            <w:tcW w:type="dxa" w:w="2880"/>
          </w:tcPr>
          <w:p>
            <w:r>
              <w:t>10.66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11.58</w:t>
            </w:r>
          </w:p>
        </w:tc>
        <w:tc>
          <w:tcPr>
            <w:tcW w:type="dxa" w:w="2880"/>
          </w:tcPr>
          <w:p>
            <w:r>
              <w:t>8.54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12.17</w:t>
            </w:r>
          </w:p>
        </w:tc>
        <w:tc>
          <w:tcPr>
            <w:tcW w:type="dxa" w:w="2880"/>
          </w:tcPr>
          <w:p>
            <w:r>
              <w:t>9.21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11.01</w:t>
            </w:r>
          </w:p>
        </w:tc>
        <w:tc>
          <w:tcPr>
            <w:tcW w:type="dxa" w:w="2880"/>
          </w:tcPr>
          <w:p>
            <w:r>
              <w:t>8.61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11.17</w:t>
            </w:r>
          </w:p>
        </w:tc>
        <w:tc>
          <w:tcPr>
            <w:tcW w:type="dxa" w:w="2880"/>
          </w:tcPr>
          <w:p>
            <w:r>
              <w:t>8.41</w:t>
            </w:r>
          </w:p>
        </w:tc>
      </w:tr>
    </w:tbl>
    <w:p>
      <w:pPr>
        <w:pStyle w:val="Heading1"/>
      </w:pPr>
      <w:r>
        <w:t>Joinpoint regression — segment APC (%) with bootstrap 95% 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segment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APC(%)</w:t>
            </w:r>
          </w:p>
        </w:tc>
        <w:tc>
          <w:tcPr>
            <w:tcW w:type="dxa" w:w="1728"/>
          </w:tcPr>
          <w:p>
            <w:r>
              <w:t>lo95</w:t>
            </w:r>
          </w:p>
        </w:tc>
        <w:tc>
          <w:tcPr>
            <w:tcW w:type="dxa" w:w="1728"/>
          </w:tcPr>
          <w:p>
            <w:r>
              <w:t>hi95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2005-2013</w:t>
            </w:r>
          </w:p>
        </w:tc>
        <w:tc>
          <w:tcPr>
            <w:tcW w:type="dxa" w:w="1728"/>
          </w:tcPr>
          <w:p>
            <w:r>
              <w:t>-4.07</w:t>
            </w:r>
          </w:p>
        </w:tc>
        <w:tc>
          <w:tcPr>
            <w:tcW w:type="dxa" w:w="1728"/>
          </w:tcPr>
          <w:p>
            <w:r>
              <w:t>-6.07</w:t>
            </w:r>
          </w:p>
        </w:tc>
        <w:tc>
          <w:tcPr>
            <w:tcW w:type="dxa" w:w="1728"/>
          </w:tcPr>
          <w:p>
            <w:r>
              <w:t>-2.24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2013-2021</w:t>
            </w:r>
          </w:p>
        </w:tc>
        <w:tc>
          <w:tcPr>
            <w:tcW w:type="dxa" w:w="1728"/>
          </w:tcPr>
          <w:p>
            <w:r>
              <w:t>-0.44</w:t>
            </w:r>
          </w:p>
        </w:tc>
        <w:tc>
          <w:tcPr>
            <w:tcW w:type="dxa" w:w="1728"/>
          </w:tcPr>
          <w:p>
            <w:r>
              <w:t>-4.60</w:t>
            </w:r>
          </w:p>
        </w:tc>
        <w:tc>
          <w:tcPr>
            <w:tcW w:type="dxa" w:w="1728"/>
          </w:tcPr>
          <w:p>
            <w:r>
              <w:t>3.10</w:t>
            </w:r>
          </w:p>
        </w:tc>
      </w:tr>
    </w:tbl>
    <w:p>
      <w:pPr>
        <w:pStyle w:val="Heading1"/>
      </w:pPr>
      <w:r>
        <w:t>Negative binomial (NB) forecast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NB_forecast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2022.00</w:t>
            </w:r>
          </w:p>
        </w:tc>
        <w:tc>
          <w:tcPr>
            <w:tcW w:type="dxa" w:w="2160"/>
          </w:tcPr>
          <w:p>
            <w:r>
              <w:t>8.52</w:t>
            </w:r>
          </w:p>
        </w:tc>
        <w:tc>
          <w:tcPr>
            <w:tcW w:type="dxa" w:w="2160"/>
          </w:tcPr>
          <w:p>
            <w:r>
              <w:t>7.84</w:t>
            </w:r>
          </w:p>
        </w:tc>
        <w:tc>
          <w:tcPr>
            <w:tcW w:type="dxa" w:w="2160"/>
          </w:tcPr>
          <w:p>
            <w:r>
              <w:t>9.26</w:t>
            </w:r>
          </w:p>
        </w:tc>
      </w:tr>
      <w:tr>
        <w:tc>
          <w:tcPr>
            <w:tcW w:type="dxa" w:w="2160"/>
          </w:tcPr>
          <w:p>
            <w:r>
              <w:t>2023.00</w:t>
            </w:r>
          </w:p>
        </w:tc>
        <w:tc>
          <w:tcPr>
            <w:tcW w:type="dxa" w:w="2160"/>
          </w:tcPr>
          <w:p>
            <w:r>
              <w:t>8.27</w:t>
            </w:r>
          </w:p>
        </w:tc>
        <w:tc>
          <w:tcPr>
            <w:tcW w:type="dxa" w:w="2160"/>
          </w:tcPr>
          <w:p>
            <w:r>
              <w:t>7.56</w:t>
            </w:r>
          </w:p>
        </w:tc>
        <w:tc>
          <w:tcPr>
            <w:tcW w:type="dxa" w:w="2160"/>
          </w:tcPr>
          <w:p>
            <w:r>
              <w:t>9.04</w:t>
            </w:r>
          </w:p>
        </w:tc>
      </w:tr>
      <w:tr>
        <w:tc>
          <w:tcPr>
            <w:tcW w:type="dxa" w:w="2160"/>
          </w:tcPr>
          <w:p>
            <w:r>
              <w:t>2024.00</w:t>
            </w:r>
          </w:p>
        </w:tc>
        <w:tc>
          <w:tcPr>
            <w:tcW w:type="dxa" w:w="2160"/>
          </w:tcPr>
          <w:p>
            <w:r>
              <w:t>8.02</w:t>
            </w:r>
          </w:p>
        </w:tc>
        <w:tc>
          <w:tcPr>
            <w:tcW w:type="dxa" w:w="2160"/>
          </w:tcPr>
          <w:p>
            <w:r>
              <w:t>7.28</w:t>
            </w:r>
          </w:p>
        </w:tc>
        <w:tc>
          <w:tcPr>
            <w:tcW w:type="dxa" w:w="2160"/>
          </w:tcPr>
          <w:p>
            <w:r>
              <w:t>8.84</w:t>
            </w:r>
          </w:p>
        </w:tc>
      </w:tr>
    </w:tbl>
    <w:p>
      <w:pPr>
        <w:pStyle w:val="Heading1"/>
      </w:pPr>
      <w:r>
        <w:t>Interpretation</w:t>
      </w:r>
    </w:p>
    <w:p>
      <w:r>
        <w:t>The age-sex standardized prevalence of High non-HDL cholesterol (&gt;=190) showed an annual percent change of -0.44% (95% CI -4.6 to 3.1) in the latest segment.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