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Incidence/Prevalence Trend Report</w:t>
      </w:r>
    </w:p>
    <w:p>
      <w:r>
        <w:t>Overweight (KSSO &gt;=23 / WHO &gt;=25, country-specific) · NHANES · 2005-2021 · survey-weighted</w:t>
      </w:r>
    </w:p>
    <w:p>
      <w:pPr>
        <w:pStyle w:val="Heading1"/>
      </w:pPr>
      <w:r>
        <w:t>Figure. Incidence/prevalence trend</w:t>
      </w:r>
    </w:p>
    <w:p>
      <w:r>
        <w:drawing>
          <wp:inline xmlns:a="http://schemas.openxmlformats.org/drawingml/2006/main" xmlns:pic="http://schemas.openxmlformats.org/drawingml/2006/picture">
            <wp:extent cx="5486400" cy="30978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978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Counts by period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period</w:t>
            </w:r>
          </w:p>
        </w:tc>
        <w:tc>
          <w:tcPr>
            <w:tcW w:type="dxa" w:w="4320"/>
          </w:tcPr>
          <w:p>
            <w:r>
              <w:t>count</w:t>
            </w:r>
          </w:p>
        </w:tc>
      </w:tr>
      <w:tr>
        <w:tc>
          <w:tcPr>
            <w:tcW w:type="dxa" w:w="4320"/>
          </w:tcPr>
          <w:p>
            <w:r>
              <w:t>2005</w:t>
            </w:r>
          </w:p>
        </w:tc>
        <w:tc>
          <w:tcPr>
            <w:tcW w:type="dxa" w:w="4320"/>
          </w:tcPr>
          <w:p>
            <w:r>
              <w:t>3251</w:t>
            </w:r>
          </w:p>
        </w:tc>
      </w:tr>
      <w:tr>
        <w:tc>
          <w:tcPr>
            <w:tcW w:type="dxa" w:w="4320"/>
          </w:tcPr>
          <w:p>
            <w:r>
              <w:t>2007</w:t>
            </w:r>
          </w:p>
        </w:tc>
        <w:tc>
          <w:tcPr>
            <w:tcW w:type="dxa" w:w="4320"/>
          </w:tcPr>
          <w:p>
            <w:r>
              <w:t>3982</w:t>
            </w:r>
          </w:p>
        </w:tc>
      </w:tr>
      <w:tr>
        <w:tc>
          <w:tcPr>
            <w:tcW w:type="dxa" w:w="4320"/>
          </w:tcPr>
          <w:p>
            <w:r>
              <w:t>2009</w:t>
            </w:r>
          </w:p>
        </w:tc>
        <w:tc>
          <w:tcPr>
            <w:tcW w:type="dxa" w:w="4320"/>
          </w:tcPr>
          <w:p>
            <w:r>
              <w:t>4312</w:t>
            </w:r>
          </w:p>
        </w:tc>
      </w:tr>
      <w:tr>
        <w:tc>
          <w:tcPr>
            <w:tcW w:type="dxa" w:w="4320"/>
          </w:tcPr>
          <w:p>
            <w:r>
              <w:t>2011</w:t>
            </w:r>
          </w:p>
        </w:tc>
        <w:tc>
          <w:tcPr>
            <w:tcW w:type="dxa" w:w="4320"/>
          </w:tcPr>
          <w:p>
            <w:r>
              <w:t>3557</w:t>
            </w:r>
          </w:p>
        </w:tc>
      </w:tr>
      <w:tr>
        <w:tc>
          <w:tcPr>
            <w:tcW w:type="dxa" w:w="4320"/>
          </w:tcPr>
          <w:p>
            <w:r>
              <w:t>2013</w:t>
            </w:r>
          </w:p>
        </w:tc>
        <w:tc>
          <w:tcPr>
            <w:tcW w:type="dxa" w:w="4320"/>
          </w:tcPr>
          <w:p>
            <w:r>
              <w:t>3851</w:t>
            </w:r>
          </w:p>
        </w:tc>
      </w:tr>
      <w:tr>
        <w:tc>
          <w:tcPr>
            <w:tcW w:type="dxa" w:w="4320"/>
          </w:tcPr>
          <w:p>
            <w:r>
              <w:t>2015</w:t>
            </w:r>
          </w:p>
        </w:tc>
        <w:tc>
          <w:tcPr>
            <w:tcW w:type="dxa" w:w="4320"/>
          </w:tcPr>
          <w:p>
            <w:r>
              <w:t>3921</w:t>
            </w:r>
          </w:p>
        </w:tc>
      </w:tr>
      <w:tr>
        <w:tc>
          <w:tcPr>
            <w:tcW w:type="dxa" w:w="4320"/>
          </w:tcPr>
          <w:p>
            <w:r>
              <w:t>2017</w:t>
            </w:r>
          </w:p>
        </w:tc>
        <w:tc>
          <w:tcPr>
            <w:tcW w:type="dxa" w:w="4320"/>
          </w:tcPr>
          <w:p>
            <w:r>
              <w:t>3838</w:t>
            </w:r>
          </w:p>
        </w:tc>
      </w:tr>
      <w:tr>
        <w:tc>
          <w:tcPr>
            <w:tcW w:type="dxa" w:w="4320"/>
          </w:tcPr>
          <w:p>
            <w:r>
              <w:t>2021</w:t>
            </w:r>
          </w:p>
        </w:tc>
        <w:tc>
          <w:tcPr>
            <w:tcW w:type="dxa" w:w="4320"/>
          </w:tcPr>
          <w:p>
            <w:r>
              <w:t>4372</w:t>
            </w:r>
          </w:p>
        </w:tc>
      </w:tr>
    </w:tbl>
    <w:p>
      <w:pPr>
        <w:pStyle w:val="Heading1"/>
      </w:pPr>
      <w:r>
        <w:t>Crude and age-sex standardized rate (%)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year</w:t>
            </w:r>
          </w:p>
        </w:tc>
        <w:tc>
          <w:tcPr>
            <w:tcW w:type="dxa" w:w="2880"/>
          </w:tcPr>
          <w:p>
            <w:r>
              <w:t>crude</w:t>
            </w:r>
          </w:p>
        </w:tc>
        <w:tc>
          <w:tcPr>
            <w:tcW w:type="dxa" w:w="2880"/>
          </w:tcPr>
          <w:p>
            <w:r>
              <w:t>standardized</w:t>
            </w:r>
          </w:p>
        </w:tc>
      </w:tr>
      <w:tr>
        <w:tc>
          <w:tcPr>
            <w:tcW w:type="dxa" w:w="2880"/>
          </w:tcPr>
          <w:p>
            <w:r>
              <w:t>2005.00</w:t>
            </w:r>
          </w:p>
        </w:tc>
        <w:tc>
          <w:tcPr>
            <w:tcW w:type="dxa" w:w="2880"/>
          </w:tcPr>
          <w:p>
            <w:r>
              <w:t>67.03</w:t>
            </w:r>
          </w:p>
        </w:tc>
        <w:tc>
          <w:tcPr>
            <w:tcW w:type="dxa" w:w="2880"/>
          </w:tcPr>
          <w:p>
            <w:r>
              <w:t>67.35</w:t>
            </w:r>
          </w:p>
        </w:tc>
      </w:tr>
      <w:tr>
        <w:tc>
          <w:tcPr>
            <w:tcW w:type="dxa" w:w="2880"/>
          </w:tcPr>
          <w:p>
            <w:r>
              <w:t>2007.00</w:t>
            </w:r>
          </w:p>
        </w:tc>
        <w:tc>
          <w:tcPr>
            <w:tcW w:type="dxa" w:w="2880"/>
          </w:tcPr>
          <w:p>
            <w:r>
              <w:t>68.03</w:t>
            </w:r>
          </w:p>
        </w:tc>
        <w:tc>
          <w:tcPr>
            <w:tcW w:type="dxa" w:w="2880"/>
          </w:tcPr>
          <w:p>
            <w:r>
              <w:t>68.20</w:t>
            </w:r>
          </w:p>
        </w:tc>
      </w:tr>
      <w:tr>
        <w:tc>
          <w:tcPr>
            <w:tcW w:type="dxa" w:w="2880"/>
          </w:tcPr>
          <w:p>
            <w:r>
              <w:t>2009.00</w:t>
            </w:r>
          </w:p>
        </w:tc>
        <w:tc>
          <w:tcPr>
            <w:tcW w:type="dxa" w:w="2880"/>
          </w:tcPr>
          <w:p>
            <w:r>
              <w:t>69.14</w:t>
            </w:r>
          </w:p>
        </w:tc>
        <w:tc>
          <w:tcPr>
            <w:tcW w:type="dxa" w:w="2880"/>
          </w:tcPr>
          <w:p>
            <w:r>
              <w:t>69.29</w:t>
            </w:r>
          </w:p>
        </w:tc>
      </w:tr>
      <w:tr>
        <w:tc>
          <w:tcPr>
            <w:tcW w:type="dxa" w:w="2880"/>
          </w:tcPr>
          <w:p>
            <w:r>
              <w:t>2011.00</w:t>
            </w:r>
          </w:p>
        </w:tc>
        <w:tc>
          <w:tcPr>
            <w:tcW w:type="dxa" w:w="2880"/>
          </w:tcPr>
          <w:p>
            <w:r>
              <w:t>69.02</w:t>
            </w:r>
          </w:p>
        </w:tc>
        <w:tc>
          <w:tcPr>
            <w:tcW w:type="dxa" w:w="2880"/>
          </w:tcPr>
          <w:p>
            <w:r>
              <w:t>68.94</w:t>
            </w:r>
          </w:p>
        </w:tc>
      </w:tr>
      <w:tr>
        <w:tc>
          <w:tcPr>
            <w:tcW w:type="dxa" w:w="2880"/>
          </w:tcPr>
          <w:p>
            <w:r>
              <w:t>2013.00</w:t>
            </w:r>
          </w:p>
        </w:tc>
        <w:tc>
          <w:tcPr>
            <w:tcW w:type="dxa" w:w="2880"/>
          </w:tcPr>
          <w:p>
            <w:r>
              <w:t>70.59</w:t>
            </w:r>
          </w:p>
        </w:tc>
        <w:tc>
          <w:tcPr>
            <w:tcW w:type="dxa" w:w="2880"/>
          </w:tcPr>
          <w:p>
            <w:r>
              <w:t>70.56</w:t>
            </w:r>
          </w:p>
        </w:tc>
      </w:tr>
      <w:tr>
        <w:tc>
          <w:tcPr>
            <w:tcW w:type="dxa" w:w="2880"/>
          </w:tcPr>
          <w:p>
            <w:r>
              <w:t>2015.00</w:t>
            </w:r>
          </w:p>
        </w:tc>
        <w:tc>
          <w:tcPr>
            <w:tcW w:type="dxa" w:w="2880"/>
          </w:tcPr>
          <w:p>
            <w:r>
              <w:t>71.68</w:t>
            </w:r>
          </w:p>
        </w:tc>
        <w:tc>
          <w:tcPr>
            <w:tcW w:type="dxa" w:w="2880"/>
          </w:tcPr>
          <w:p>
            <w:r>
              <w:t>71.63</w:t>
            </w:r>
          </w:p>
        </w:tc>
      </w:tr>
      <w:tr>
        <w:tc>
          <w:tcPr>
            <w:tcW w:type="dxa" w:w="2880"/>
          </w:tcPr>
          <w:p>
            <w:r>
              <w:t>2017.00</w:t>
            </w:r>
          </w:p>
        </w:tc>
        <w:tc>
          <w:tcPr>
            <w:tcW w:type="dxa" w:w="2880"/>
          </w:tcPr>
          <w:p>
            <w:r>
              <w:t>73.80</w:t>
            </w:r>
          </w:p>
        </w:tc>
        <w:tc>
          <w:tcPr>
            <w:tcW w:type="dxa" w:w="2880"/>
          </w:tcPr>
          <w:p>
            <w:r>
              <w:t>73.82</w:t>
            </w:r>
          </w:p>
        </w:tc>
      </w:tr>
      <w:tr>
        <w:tc>
          <w:tcPr>
            <w:tcW w:type="dxa" w:w="2880"/>
          </w:tcPr>
          <w:p>
            <w:r>
              <w:t>2021.00</w:t>
            </w:r>
          </w:p>
        </w:tc>
        <w:tc>
          <w:tcPr>
            <w:tcW w:type="dxa" w:w="2880"/>
          </w:tcPr>
          <w:p>
            <w:r>
              <w:t>72.36</w:t>
            </w:r>
          </w:p>
        </w:tc>
        <w:tc>
          <w:tcPr>
            <w:tcW w:type="dxa" w:w="2880"/>
          </w:tcPr>
          <w:p>
            <w:r>
              <w:t>72.31</w:t>
            </w:r>
          </w:p>
        </w:tc>
      </w:tr>
    </w:tbl>
    <w:p>
      <w:pPr>
        <w:pStyle w:val="Heading1"/>
      </w:pPr>
      <w:r>
        <w:t>Projection (linear, standardized rate)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year</w:t>
            </w:r>
          </w:p>
        </w:tc>
        <w:tc>
          <w:tcPr>
            <w:tcW w:type="dxa" w:w="2160"/>
          </w:tcPr>
          <w:p>
            <w:r>
              <w:t>forecast</w:t>
            </w:r>
          </w:p>
        </w:tc>
        <w:tc>
          <w:tcPr>
            <w:tcW w:type="dxa" w:w="2160"/>
          </w:tcPr>
          <w:p>
            <w:r>
              <w:t>lo95</w:t>
            </w:r>
          </w:p>
        </w:tc>
        <w:tc>
          <w:tcPr>
            <w:tcW w:type="dxa" w:w="2160"/>
          </w:tcPr>
          <w:p>
            <w:r>
              <w:t>hi95</w:t>
            </w:r>
          </w:p>
        </w:tc>
      </w:tr>
      <w:tr>
        <w:tc>
          <w:tcPr>
            <w:tcW w:type="dxa" w:w="2160"/>
          </w:tcPr>
          <w:p>
            <w:r>
              <w:t>2022.00</w:t>
            </w:r>
          </w:p>
        </w:tc>
        <w:tc>
          <w:tcPr>
            <w:tcW w:type="dxa" w:w="2160"/>
          </w:tcPr>
          <w:p>
            <w:r>
              <w:t>73.96</w:t>
            </w:r>
          </w:p>
        </w:tc>
        <w:tc>
          <w:tcPr>
            <w:tcW w:type="dxa" w:w="2160"/>
          </w:tcPr>
          <w:p>
            <w:r>
              <w:t>71.56</w:t>
            </w:r>
          </w:p>
        </w:tc>
        <w:tc>
          <w:tcPr>
            <w:tcW w:type="dxa" w:w="2160"/>
          </w:tcPr>
          <w:p>
            <w:r>
              <w:t>76.36</w:t>
            </w:r>
          </w:p>
        </w:tc>
      </w:tr>
      <w:tr>
        <w:tc>
          <w:tcPr>
            <w:tcW w:type="dxa" w:w="2160"/>
          </w:tcPr>
          <w:p>
            <w:r>
              <w:t>2023.00</w:t>
            </w:r>
          </w:p>
        </w:tc>
        <w:tc>
          <w:tcPr>
            <w:tcW w:type="dxa" w:w="2160"/>
          </w:tcPr>
          <w:p>
            <w:r>
              <w:t>74.33</w:t>
            </w:r>
          </w:p>
        </w:tc>
        <w:tc>
          <w:tcPr>
            <w:tcW w:type="dxa" w:w="2160"/>
          </w:tcPr>
          <w:p>
            <w:r>
              <w:t>71.86</w:t>
            </w:r>
          </w:p>
        </w:tc>
        <w:tc>
          <w:tcPr>
            <w:tcW w:type="dxa" w:w="2160"/>
          </w:tcPr>
          <w:p>
            <w:r>
              <w:t>76.81</w:t>
            </w:r>
          </w:p>
        </w:tc>
      </w:tr>
      <w:tr>
        <w:tc>
          <w:tcPr>
            <w:tcW w:type="dxa" w:w="2160"/>
          </w:tcPr>
          <w:p>
            <w:r>
              <w:t>2024.00</w:t>
            </w:r>
          </w:p>
        </w:tc>
        <w:tc>
          <w:tcPr>
            <w:tcW w:type="dxa" w:w="2160"/>
          </w:tcPr>
          <w:p>
            <w:r>
              <w:t>74.71</w:t>
            </w:r>
          </w:p>
        </w:tc>
        <w:tc>
          <w:tcPr>
            <w:tcW w:type="dxa" w:w="2160"/>
          </w:tcPr>
          <w:p>
            <w:r>
              <w:t>72.16</w:t>
            </w:r>
          </w:p>
        </w:tc>
        <w:tc>
          <w:tcPr>
            <w:tcW w:type="dxa" w:w="2160"/>
          </w:tcPr>
          <w:p>
            <w:r>
              <w:t>77.27</w:t>
            </w:r>
          </w:p>
        </w:tc>
      </w:tr>
    </w:tbl>
    <w:p>
      <w:pPr>
        <w:pStyle w:val="Heading1"/>
      </w:pPr>
      <w:r>
        <w:t>Stratified trend by sex (%)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year</w:t>
            </w:r>
          </w:p>
        </w:tc>
        <w:tc>
          <w:tcPr>
            <w:tcW w:type="dxa" w:w="2880"/>
          </w:tcPr>
          <w:p>
            <w:r>
              <w:t>men</w:t>
            </w:r>
          </w:p>
        </w:tc>
        <w:tc>
          <w:tcPr>
            <w:tcW w:type="dxa" w:w="2880"/>
          </w:tcPr>
          <w:p>
            <w:r>
              <w:t>women</w:t>
            </w:r>
          </w:p>
        </w:tc>
      </w:tr>
      <w:tr>
        <w:tc>
          <w:tcPr>
            <w:tcW w:type="dxa" w:w="2880"/>
          </w:tcPr>
          <w:p>
            <w:r>
              <w:t>2005.00</w:t>
            </w:r>
          </w:p>
        </w:tc>
        <w:tc>
          <w:tcPr>
            <w:tcW w:type="dxa" w:w="2880"/>
          </w:tcPr>
          <w:p>
            <w:r>
              <w:t>73.05</w:t>
            </w:r>
          </w:p>
        </w:tc>
        <w:tc>
          <w:tcPr>
            <w:tcW w:type="dxa" w:w="2880"/>
          </w:tcPr>
          <w:p>
            <w:r>
              <w:t>61.46</w:t>
            </w:r>
          </w:p>
        </w:tc>
      </w:tr>
      <w:tr>
        <w:tc>
          <w:tcPr>
            <w:tcW w:type="dxa" w:w="2880"/>
          </w:tcPr>
          <w:p>
            <w:r>
              <w:t>2007.00</w:t>
            </w:r>
          </w:p>
        </w:tc>
        <w:tc>
          <w:tcPr>
            <w:tcW w:type="dxa" w:w="2880"/>
          </w:tcPr>
          <w:p>
            <w:r>
              <w:t>71.99</w:t>
            </w:r>
          </w:p>
        </w:tc>
        <w:tc>
          <w:tcPr>
            <w:tcW w:type="dxa" w:w="2880"/>
          </w:tcPr>
          <w:p>
            <w:r>
              <w:t>64.34</w:t>
            </w:r>
          </w:p>
        </w:tc>
      </w:tr>
      <w:tr>
        <w:tc>
          <w:tcPr>
            <w:tcW w:type="dxa" w:w="2880"/>
          </w:tcPr>
          <w:p>
            <w:r>
              <w:t>2009.00</w:t>
            </w:r>
          </w:p>
        </w:tc>
        <w:tc>
          <w:tcPr>
            <w:tcW w:type="dxa" w:w="2880"/>
          </w:tcPr>
          <w:p>
            <w:r>
              <w:t>73.96</w:t>
            </w:r>
          </w:p>
        </w:tc>
        <w:tc>
          <w:tcPr>
            <w:tcW w:type="dxa" w:w="2880"/>
          </w:tcPr>
          <w:p>
            <w:r>
              <w:t>64.67</w:t>
            </w:r>
          </w:p>
        </w:tc>
      </w:tr>
      <w:tr>
        <w:tc>
          <w:tcPr>
            <w:tcW w:type="dxa" w:w="2880"/>
          </w:tcPr>
          <w:p>
            <w:r>
              <w:t>2011.00</w:t>
            </w:r>
          </w:p>
        </w:tc>
        <w:tc>
          <w:tcPr>
            <w:tcW w:type="dxa" w:w="2880"/>
          </w:tcPr>
          <w:p>
            <w:r>
              <w:t>71.63</w:t>
            </w:r>
          </w:p>
        </w:tc>
        <w:tc>
          <w:tcPr>
            <w:tcW w:type="dxa" w:w="2880"/>
          </w:tcPr>
          <w:p>
            <w:r>
              <w:t>66.59</w:t>
            </w:r>
          </w:p>
        </w:tc>
      </w:tr>
      <w:tr>
        <w:tc>
          <w:tcPr>
            <w:tcW w:type="dxa" w:w="2880"/>
          </w:tcPr>
          <w:p>
            <w:r>
              <w:t>2013.00</w:t>
            </w:r>
          </w:p>
        </w:tc>
        <w:tc>
          <w:tcPr>
            <w:tcW w:type="dxa" w:w="2880"/>
          </w:tcPr>
          <w:p>
            <w:r>
              <w:t>73.96</w:t>
            </w:r>
          </w:p>
        </w:tc>
        <w:tc>
          <w:tcPr>
            <w:tcW w:type="dxa" w:w="2880"/>
          </w:tcPr>
          <w:p>
            <w:r>
              <w:t>67.48</w:t>
            </w:r>
          </w:p>
        </w:tc>
      </w:tr>
      <w:tr>
        <w:tc>
          <w:tcPr>
            <w:tcW w:type="dxa" w:w="2880"/>
          </w:tcPr>
          <w:p>
            <w:r>
              <w:t>2015.00</w:t>
            </w:r>
          </w:p>
        </w:tc>
        <w:tc>
          <w:tcPr>
            <w:tcW w:type="dxa" w:w="2880"/>
          </w:tcPr>
          <w:p>
            <w:r>
              <w:t>74.71</w:t>
            </w:r>
          </w:p>
        </w:tc>
        <w:tc>
          <w:tcPr>
            <w:tcW w:type="dxa" w:w="2880"/>
          </w:tcPr>
          <w:p>
            <w:r>
              <w:t>68.89</w:t>
            </w:r>
          </w:p>
        </w:tc>
      </w:tr>
      <w:tr>
        <w:tc>
          <w:tcPr>
            <w:tcW w:type="dxa" w:w="2880"/>
          </w:tcPr>
          <w:p>
            <w:r>
              <w:t>2017.00</w:t>
            </w:r>
          </w:p>
        </w:tc>
        <w:tc>
          <w:tcPr>
            <w:tcW w:type="dxa" w:w="2880"/>
          </w:tcPr>
          <w:p>
            <w:r>
              <w:t>77.35</w:t>
            </w:r>
          </w:p>
        </w:tc>
        <w:tc>
          <w:tcPr>
            <w:tcW w:type="dxa" w:w="2880"/>
          </w:tcPr>
          <w:p>
            <w:r>
              <w:t>70.50</w:t>
            </w:r>
          </w:p>
        </w:tc>
      </w:tr>
      <w:tr>
        <w:tc>
          <w:tcPr>
            <w:tcW w:type="dxa" w:w="2880"/>
          </w:tcPr>
          <w:p>
            <w:r>
              <w:t>2021.00</w:t>
            </w:r>
          </w:p>
        </w:tc>
        <w:tc>
          <w:tcPr>
            <w:tcW w:type="dxa" w:w="2880"/>
          </w:tcPr>
          <w:p>
            <w:r>
              <w:t>74.95</w:t>
            </w:r>
          </w:p>
        </w:tc>
        <w:tc>
          <w:tcPr>
            <w:tcW w:type="dxa" w:w="2880"/>
          </w:tcPr>
          <w:p>
            <w:r>
              <w:t>69.91</w:t>
            </w:r>
          </w:p>
        </w:tc>
      </w:tr>
    </w:tbl>
    <w:p>
      <w:pPr>
        <w:pStyle w:val="Heading1"/>
      </w:pPr>
      <w:r>
        <w:t>Joinpoint regression — segment APC (%) with bootstrap 95% CI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segment</w:t>
            </w:r>
          </w:p>
        </w:tc>
        <w:tc>
          <w:tcPr>
            <w:tcW w:type="dxa" w:w="1728"/>
          </w:tcPr>
          <w:p>
            <w:r>
              <w:t>period</w:t>
            </w:r>
          </w:p>
        </w:tc>
        <w:tc>
          <w:tcPr>
            <w:tcW w:type="dxa" w:w="1728"/>
          </w:tcPr>
          <w:p>
            <w:r>
              <w:t>APC(%)</w:t>
            </w:r>
          </w:p>
        </w:tc>
        <w:tc>
          <w:tcPr>
            <w:tcW w:type="dxa" w:w="1728"/>
          </w:tcPr>
          <w:p>
            <w:r>
              <w:t>lo95</w:t>
            </w:r>
          </w:p>
        </w:tc>
        <w:tc>
          <w:tcPr>
            <w:tcW w:type="dxa" w:w="1728"/>
          </w:tcPr>
          <w:p>
            <w:r>
              <w:t>hi95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2005-2015</w:t>
            </w:r>
          </w:p>
        </w:tc>
        <w:tc>
          <w:tcPr>
            <w:tcW w:type="dxa" w:w="1728"/>
          </w:tcPr>
          <w:p>
            <w:r>
              <w:t>0.58</w:t>
            </w:r>
          </w:p>
        </w:tc>
        <w:tc>
          <w:tcPr>
            <w:tcW w:type="dxa" w:w="1728"/>
          </w:tcPr>
          <w:p>
            <w:r>
              <w:t>0.37</w:t>
            </w:r>
          </w:p>
        </w:tc>
        <w:tc>
          <w:tcPr>
            <w:tcW w:type="dxa" w:w="1728"/>
          </w:tcPr>
          <w:p>
            <w:r>
              <w:t>0.71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2015-2021</w:t>
            </w:r>
          </w:p>
        </w:tc>
        <w:tc>
          <w:tcPr>
            <w:tcW w:type="dxa" w:w="1728"/>
          </w:tcPr>
          <w:p>
            <w:r>
              <w:t>0.06</w:t>
            </w:r>
          </w:p>
        </w:tc>
        <w:tc>
          <w:tcPr>
            <w:tcW w:type="dxa" w:w="1728"/>
          </w:tcPr>
          <w:p>
            <w:r>
              <w:t>-0.52</w:t>
            </w:r>
          </w:p>
        </w:tc>
        <w:tc>
          <w:tcPr>
            <w:tcW w:type="dxa" w:w="1728"/>
          </w:tcPr>
          <w:p>
            <w:r>
              <w:t>1.52</w:t>
            </w:r>
          </w:p>
        </w:tc>
      </w:tr>
    </w:tbl>
    <w:p>
      <w:pPr>
        <w:pStyle w:val="Heading1"/>
      </w:pPr>
      <w:r>
        <w:t>Negative binomial (NB) forecast (%)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year</w:t>
            </w:r>
          </w:p>
        </w:tc>
        <w:tc>
          <w:tcPr>
            <w:tcW w:type="dxa" w:w="2160"/>
          </w:tcPr>
          <w:p>
            <w:r>
              <w:t>NB_forecast</w:t>
            </w:r>
          </w:p>
        </w:tc>
        <w:tc>
          <w:tcPr>
            <w:tcW w:type="dxa" w:w="2160"/>
          </w:tcPr>
          <w:p>
            <w:r>
              <w:t>lo95</w:t>
            </w:r>
          </w:p>
        </w:tc>
        <w:tc>
          <w:tcPr>
            <w:tcW w:type="dxa" w:w="2160"/>
          </w:tcPr>
          <w:p>
            <w:r>
              <w:t>hi95</w:t>
            </w:r>
          </w:p>
        </w:tc>
      </w:tr>
      <w:tr>
        <w:tc>
          <w:tcPr>
            <w:tcW w:type="dxa" w:w="2160"/>
          </w:tcPr>
          <w:p>
            <w:r>
              <w:t>2022.00</w:t>
            </w:r>
          </w:p>
        </w:tc>
        <w:tc>
          <w:tcPr>
            <w:tcW w:type="dxa" w:w="2160"/>
          </w:tcPr>
          <w:p>
            <w:r>
              <w:t>73.67</w:t>
            </w:r>
          </w:p>
        </w:tc>
        <w:tc>
          <w:tcPr>
            <w:tcW w:type="dxa" w:w="2160"/>
          </w:tcPr>
          <w:p>
            <w:r>
              <w:t>71.35</w:t>
            </w:r>
          </w:p>
        </w:tc>
        <w:tc>
          <w:tcPr>
            <w:tcW w:type="dxa" w:w="2160"/>
          </w:tcPr>
          <w:p>
            <w:r>
              <w:t>76.08</w:t>
            </w:r>
          </w:p>
        </w:tc>
      </w:tr>
      <w:tr>
        <w:tc>
          <w:tcPr>
            <w:tcW w:type="dxa" w:w="2160"/>
          </w:tcPr>
          <w:p>
            <w:r>
              <w:t>2023.00</w:t>
            </w:r>
          </w:p>
        </w:tc>
        <w:tc>
          <w:tcPr>
            <w:tcW w:type="dxa" w:w="2160"/>
          </w:tcPr>
          <w:p>
            <w:r>
              <w:t>73.93</w:t>
            </w:r>
          </w:p>
        </w:tc>
        <w:tc>
          <w:tcPr>
            <w:tcW w:type="dxa" w:w="2160"/>
          </w:tcPr>
          <w:p>
            <w:r>
              <w:t>71.40</w:t>
            </w:r>
          </w:p>
        </w:tc>
        <w:tc>
          <w:tcPr>
            <w:tcW w:type="dxa" w:w="2160"/>
          </w:tcPr>
          <w:p>
            <w:r>
              <w:t>76.54</w:t>
            </w:r>
          </w:p>
        </w:tc>
      </w:tr>
      <w:tr>
        <w:tc>
          <w:tcPr>
            <w:tcW w:type="dxa" w:w="2160"/>
          </w:tcPr>
          <w:p>
            <w:r>
              <w:t>2024.00</w:t>
            </w:r>
          </w:p>
        </w:tc>
        <w:tc>
          <w:tcPr>
            <w:tcW w:type="dxa" w:w="2160"/>
          </w:tcPr>
          <w:p>
            <w:r>
              <w:t>74.18</w:t>
            </w:r>
          </w:p>
        </w:tc>
        <w:tc>
          <w:tcPr>
            <w:tcW w:type="dxa" w:w="2160"/>
          </w:tcPr>
          <w:p>
            <w:r>
              <w:t>71.45</w:t>
            </w:r>
          </w:p>
        </w:tc>
        <w:tc>
          <w:tcPr>
            <w:tcW w:type="dxa" w:w="2160"/>
          </w:tcPr>
          <w:p>
            <w:r>
              <w:t>77.01</w:t>
            </w:r>
          </w:p>
        </w:tc>
      </w:tr>
    </w:tbl>
    <w:p>
      <w:pPr>
        <w:pStyle w:val="Heading1"/>
      </w:pPr>
      <w:r>
        <w:t>Interpretation</w:t>
      </w:r>
    </w:p>
    <w:p>
      <w:r>
        <w:t>The age-sex standardized prevalence of Overweight (KSSO &gt;=23 / WHO &gt;=25, country-specific) showed an annual percent change of 0.06% (95% CI -0.52 to 1.52) in the latest segment.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