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A5F" w:sz="12"/>
        </w:pBdr>
        <w:tabs>
          <w:tab w:val="right" w:pos="9360"/>
        </w:tabs>
        <w:spacing w:after="300"/>
      </w:pPr>
      <w:r>
        <w:rPr>
          <w:rFonts w:ascii="Calibri" w:cs="Calibri" w:eastAsia="Calibri" w:hAnsi="Calibri"/>
          <w:b/>
          <w:bCs/>
          <w:color w:val="1F3A5F"/>
          <w:spacing w:val="44"/>
          <w:sz w:val="30"/>
          <w:szCs w:val="30"/>
        </w:rPr>
        <w:t xml:space="preserve">BEN MEYER</w:t>
      </w:r>
      <w:r>
        <w:rPr>
          <w:rFonts w:ascii="Calibri" w:cs="Calibri" w:eastAsia="Calibri" w:hAnsi="Calibri"/>
          <w:color w:val="5A5A5A"/>
          <w:spacing w:val="20"/>
          <w:sz w:val="17"/>
          <w:szCs w:val="17"/>
        </w:rPr>
        <w:t xml:space="preserve">	COMPANY WORKUP</w:t>
      </w:r>
    </w:p>
    <w:p>
      <w:pPr>
        <w:spacing w:after="60"/>
      </w:pPr>
      <w:r>
        <w:rPr>
          <w:rFonts w:ascii="Cambria" w:cs="Cambria" w:eastAsia="Cambria" w:hAnsi="Cambria"/>
          <w:b/>
          <w:bCs/>
          <w:color w:val="1F3A5F"/>
          <w:sz w:val="40"/>
          <w:szCs w:val="40"/>
        </w:rPr>
        <w:t xml:space="preserve">Cosmic Buildings Inc.</w:t>
      </w:r>
    </w:p>
    <w:p>
      <w:pPr>
        <w:spacing w:after="220" w:line="276"/>
      </w:pPr>
      <w:r>
        <w:rPr>
          <w:rFonts w:ascii="Calibri" w:cs="Calibri" w:eastAsia="Calibri" w:hAnsi="Calibri"/>
          <w:i/>
          <w:iCs/>
          <w:color w:val="5A5A5A"/>
          <w:sz w:val="20"/>
          <w:szCs w:val="20"/>
        </w:rPr>
        <w:t xml:space="preserve">Robotic on-site homebuilding for ADUs and single-family rebuilds — private, pre-Series A, Los Angeles and San Francisco</w:t>
      </w:r>
    </w:p>
    <w:tbl>
      <w:tblPr>
        <w:tblW w:type="dxa" w:w="9360"/>
        <w:tblBorders>
          <w:top w:val="nil"/>
          <w:left w:val="nil"/>
          <w:bottom w:val="nil"/>
          <w:right w:val="nil"/>
          <w:insideH w:val="nil"/>
          <w:insideV w:val="nil"/>
        </w:tblBorders>
      </w:tblPr>
      <w:tblGrid>
        <w:gridCol w:w="1750"/>
        <w:gridCol w:w="7610"/>
      </w:tblGrid>
      <w:tr>
        <w:tc>
          <w:tcPr>
            <w:tcW w:type="dxa" w:w="1750"/>
            <w:tcBorders>
              <w:top w:val="nil"/>
              <w:left w:val="nil"/>
              <w:bottom w:val="single" w:color="D9D9D9" w:sz="4"/>
              <w:right w:val="nil"/>
            </w:tcBorders>
            <w:tcMar>
              <w:top w:type="dxa" w:w="70"/>
              <w:bottom w:type="dxa" w:w="70"/>
            </w:tcMar>
          </w:tcPr>
          <w:p>
            <w:r>
              <w:rPr>
                <w:rFonts w:ascii="Calibri" w:cs="Calibri" w:eastAsia="Calibri" w:hAnsi="Calibri"/>
                <w:b/>
                <w:bCs/>
                <w:color w:val="5A5A5A"/>
                <w:spacing w:val="10"/>
                <w:sz w:val="17"/>
                <w:szCs w:val="17"/>
              </w:rPr>
              <w:t xml:space="preserve">DATE</w:t>
            </w:r>
          </w:p>
        </w:tc>
        <w:tc>
          <w:tcPr>
            <w:tcW w:type="dxa" w:w="7610"/>
            <w:tcBorders>
              <w:top w:val="nil"/>
              <w:left w:val="nil"/>
              <w:bottom w:val="single" w:color="D9D9D9" w:sz="4"/>
              <w:right w:val="nil"/>
            </w:tcBorders>
            <w:tcMar>
              <w:top w:type="dxa" w:w="70"/>
              <w:bottom w:type="dxa" w:w="70"/>
            </w:tcMar>
          </w:tcPr>
          <w:p>
            <w:r>
              <w:rPr>
                <w:rFonts w:ascii="Calibri" w:cs="Calibri" w:eastAsia="Calibri" w:hAnsi="Calibri"/>
                <w:color w:val="1A1A1A"/>
                <w:sz w:val="21"/>
                <w:szCs w:val="21"/>
              </w:rPr>
              <w:t xml:space="preserve">16 September 2026</w:t>
            </w:r>
          </w:p>
        </w:tc>
      </w:tr>
      <w:tr>
        <w:tc>
          <w:tcPr>
            <w:tcW w:type="dxa" w:w="1750"/>
            <w:tcBorders>
              <w:top w:val="nil"/>
              <w:left w:val="nil"/>
              <w:bottom w:val="single" w:color="D9D9D9" w:sz="4"/>
              <w:right w:val="nil"/>
            </w:tcBorders>
            <w:tcMar>
              <w:top w:type="dxa" w:w="70"/>
              <w:bottom w:type="dxa" w:w="70"/>
            </w:tcMar>
          </w:tcPr>
          <w:p>
            <w:r>
              <w:rPr>
                <w:rFonts w:ascii="Calibri" w:cs="Calibri" w:eastAsia="Calibri" w:hAnsi="Calibri"/>
                <w:b/>
                <w:bCs/>
                <w:color w:val="5A5A5A"/>
                <w:spacing w:val="10"/>
                <w:sz w:val="17"/>
                <w:szCs w:val="17"/>
              </w:rPr>
              <w:t xml:space="preserve">SUBJECT</w:t>
            </w:r>
          </w:p>
        </w:tc>
        <w:tc>
          <w:tcPr>
            <w:tcW w:type="dxa" w:w="7610"/>
            <w:tcBorders>
              <w:top w:val="nil"/>
              <w:left w:val="nil"/>
              <w:bottom w:val="single" w:color="D9D9D9" w:sz="4"/>
              <w:right w:val="nil"/>
            </w:tcBorders>
            <w:tcMar>
              <w:top w:type="dxa" w:w="70"/>
              <w:bottom w:type="dxa" w:w="70"/>
            </w:tcMar>
          </w:tcPr>
          <w:p>
            <w:r>
              <w:rPr>
                <w:rFonts w:ascii="Calibri" w:cs="Calibri" w:eastAsia="Calibri" w:hAnsi="Calibri"/>
                <w:color w:val="1A1A1A"/>
                <w:sz w:val="21"/>
                <w:szCs w:val="21"/>
              </w:rPr>
              <w:t xml:space="preserve">Whether the mechanism and the evidence support an investment at this stage</w:t>
            </w:r>
          </w:p>
        </w:tc>
      </w:tr>
      <w:tr>
        <w:tc>
          <w:tcPr>
            <w:tcW w:type="dxa" w:w="1750"/>
            <w:tcBorders>
              <w:top w:val="nil"/>
              <w:left w:val="nil"/>
              <w:bottom w:val="single" w:color="D9D9D9" w:sz="4"/>
              <w:right w:val="nil"/>
            </w:tcBorders>
            <w:tcMar>
              <w:top w:type="dxa" w:w="70"/>
              <w:bottom w:type="dxa" w:w="70"/>
            </w:tcMar>
          </w:tcPr>
          <w:p>
            <w:r>
              <w:rPr>
                <w:rFonts w:ascii="Calibri" w:cs="Calibri" w:eastAsia="Calibri" w:hAnsi="Calibri"/>
                <w:b/>
                <w:bCs/>
                <w:color w:val="5A5A5A"/>
                <w:spacing w:val="10"/>
                <w:sz w:val="17"/>
                <w:szCs w:val="17"/>
              </w:rPr>
              <w:t xml:space="preserve">PREPARED BY</w:t>
            </w:r>
          </w:p>
        </w:tc>
        <w:tc>
          <w:tcPr>
            <w:tcW w:type="dxa" w:w="7610"/>
            <w:tcBorders>
              <w:top w:val="nil"/>
              <w:left w:val="nil"/>
              <w:bottom w:val="single" w:color="D9D9D9" w:sz="4"/>
              <w:right w:val="nil"/>
            </w:tcBorders>
            <w:tcMar>
              <w:top w:type="dxa" w:w="70"/>
              <w:bottom w:type="dxa" w:w="70"/>
            </w:tcMar>
          </w:tcPr>
          <w:p>
            <w:r>
              <w:rPr>
                <w:rFonts w:ascii="Calibri" w:cs="Calibri" w:eastAsia="Calibri" w:hAnsi="Calibri"/>
                <w:color w:val="1A1A1A"/>
                <w:sz w:val="21"/>
                <w:szCs w:val="21"/>
              </w:rPr>
              <w:t xml:space="preserve">Ben Meyer — public records only; no contact with the company</w:t>
            </w:r>
          </w:p>
        </w:tc>
      </w:tr>
      <w:tr>
        <w:tc>
          <w:tcPr>
            <w:tcW w:type="dxa" w:w="1750"/>
            <w:tcBorders>
              <w:top w:val="nil"/>
              <w:left w:val="nil"/>
              <w:bottom w:val="single" w:color="D9D9D9" w:sz="4"/>
              <w:right w:val="nil"/>
            </w:tcBorders>
            <w:tcMar>
              <w:top w:type="dxa" w:w="70"/>
              <w:bottom w:type="dxa" w:w="70"/>
            </w:tcMar>
          </w:tcPr>
          <w:p>
            <w:r>
              <w:rPr>
                <w:rFonts w:ascii="Calibri" w:cs="Calibri" w:eastAsia="Calibri" w:hAnsi="Calibri"/>
                <w:b/>
                <w:bCs/>
                <w:color w:val="5A5A5A"/>
                <w:spacing w:val="10"/>
                <w:sz w:val="17"/>
                <w:szCs w:val="17"/>
              </w:rPr>
              <w:t xml:space="preserve">BASIS</w:t>
            </w:r>
          </w:p>
        </w:tc>
        <w:tc>
          <w:tcPr>
            <w:tcW w:type="dxa" w:w="7610"/>
            <w:tcBorders>
              <w:top w:val="nil"/>
              <w:left w:val="nil"/>
              <w:bottom w:val="single" w:color="D9D9D9" w:sz="4"/>
              <w:right w:val="nil"/>
            </w:tcBorders>
            <w:tcMar>
              <w:top w:type="dxa" w:w="70"/>
              <w:bottom w:type="dxa" w:w="70"/>
            </w:tcMar>
          </w:tcPr>
          <w:p>
            <w:r>
              <w:rPr>
                <w:rFonts w:ascii="Calibri" w:cs="Calibri" w:eastAsia="Calibri" w:hAnsi="Calibri"/>
                <w:color w:val="1A1A1A"/>
                <w:sz w:val="21"/>
                <w:szCs w:val="21"/>
              </w:rPr>
              <w:t xml:space="preserve">Filings, registers, permit data and press. 53 numbers tagged, 32 sources</w:t>
            </w:r>
          </w:p>
        </w:tc>
      </w:tr>
      <w:tr>
        <w:tc>
          <w:tcPr>
            <w:tcW w:type="dxa" w:w="1750"/>
            <w:tcBorders>
              <w:top w:val="nil"/>
              <w:left w:val="nil"/>
              <w:bottom w:val="single" w:color="D9D9D9" w:sz="4"/>
              <w:right w:val="nil"/>
            </w:tcBorders>
            <w:tcMar>
              <w:top w:type="dxa" w:w="70"/>
              <w:bottom w:type="dxa" w:w="70"/>
            </w:tcMar>
          </w:tcPr>
          <w:p>
            <w:r>
              <w:rPr>
                <w:rFonts w:ascii="Calibri" w:cs="Calibri" w:eastAsia="Calibri" w:hAnsi="Calibri"/>
                <w:b/>
                <w:bCs/>
                <w:color w:val="5A5A5A"/>
                <w:spacing w:val="10"/>
                <w:sz w:val="17"/>
                <w:szCs w:val="17"/>
              </w:rPr>
              <w:t xml:space="preserve">METHOD</w:t>
            </w:r>
          </w:p>
        </w:tc>
        <w:tc>
          <w:tcPr>
            <w:tcW w:type="dxa" w:w="7610"/>
            <w:tcBorders>
              <w:top w:val="nil"/>
              <w:left w:val="nil"/>
              <w:bottom w:val="single" w:color="D9D9D9" w:sz="4"/>
              <w:right w:val="nil"/>
            </w:tcBorders>
            <w:tcMar>
              <w:top w:type="dxa" w:w="70"/>
              <w:bottom w:type="dxa" w:w="70"/>
            </w:tcMar>
          </w:tcPr>
          <w:p>
            <w:r>
              <w:rPr>
                <w:rFonts w:ascii="Calibri" w:cs="Calibri" w:eastAsia="Calibri" w:hAnsi="Calibri"/>
                <w:color w:val="1A1A1A"/>
                <w:sz w:val="21"/>
                <w:szCs w:val="21"/>
              </w:rPr>
              <w:t xml:space="preserve">Screen / Dossier / Opinion · confidence tiers and C·R·V independence grades</w:t>
            </w:r>
          </w:p>
        </w:tc>
      </w:tr>
    </w:tbl>
    <w:p>
      <w:pPr>
        <w:spacing w:after="260"/>
      </w:pPr>
    </w:p>
    <w:tbl>
      <w:tblPr>
        <w:tblW w:type="dxa" w:w="9360"/>
        <w:tblBorders>
          <w:top w:val="nil"/>
          <w:left w:val="single" w:color="1F3A5F" w:sz="28"/>
          <w:bottom w:val="nil"/>
          <w:right w:val="nil"/>
          <w:insideH w:val="nil"/>
          <w:insideV w:val="nil"/>
        </w:tblBorders>
      </w:tblPr>
      <w:tblGrid>
        <w:gridCol w:w="9360"/>
      </w:tblGrid>
      <w:tr>
        <w:tc>
          <w:tcPr>
            <w:tcW w:type="dxa" w:w="9360"/>
            <w:shd w:fill="EEF2F8" w:val="clear"/>
            <w:tcMar>
              <w:top w:type="dxa" w:w="140"/>
              <w:left w:type="dxa" w:w="180"/>
              <w:bottom w:type="dxa" w:w="140"/>
              <w:right w:type="dxa" w:w="180"/>
            </w:tcMar>
          </w:tcPr>
          <w:p>
            <w:pPr>
              <w:spacing w:after="60"/>
            </w:pPr>
            <w:r>
              <w:rPr>
                <w:rFonts w:ascii="Calibri" w:cs="Calibri" w:eastAsia="Calibri" w:hAnsi="Calibri"/>
                <w:b/>
                <w:bCs/>
                <w:color w:val="1F3A5F"/>
                <w:spacing w:val="12"/>
                <w:sz w:val="17"/>
                <w:szCs w:val="17"/>
              </w:rPr>
              <w:t xml:space="preserve">THE CALL</w:t>
            </w:r>
          </w:p>
          <w:p>
            <w:pPr>
              <w:spacing w:after="0" w:line="276"/>
            </w:pPr>
            <w:r>
              <w:rPr>
                <w:rFonts w:ascii="Calibri" w:cs="Calibri" w:eastAsia="Calibri" w:hAnsi="Calibri"/>
                <w:b/>
                <w:bCs/>
                <w:color w:val="1A1A1A"/>
                <w:sz w:val="21"/>
                <w:szCs w:val="21"/>
              </w:rPr>
              <w:t xml:space="preserve">Worth a first meeting. Not an investment on this evidence. </w:t>
            </w:r>
            <w:r>
              <w:rPr>
                <w:rFonts w:ascii="Calibri" w:cs="Calibri" w:eastAsia="Calibri" w:hAnsi="Calibri"/>
                <w:color w:val="1A1A1A"/>
                <w:sz w:val="21"/>
                <w:szCs w:val="21"/>
              </w:rPr>
              <w:t xml:space="preserve">The mechanism is the best answer anyone has given to why factory-built housing keeps failing here: bring a small robot to the lot instead of building a plant and trucking the house. But twenty months into the rebuild that created its market, the record shows </w:t>
            </w:r>
            <w:r>
              <w:rPr>
                <w:rFonts w:ascii="Calibri" w:cs="Calibri" w:eastAsia="Calibri" w:hAnsi="Calibri"/>
                <w:b/>
                <w:bCs/>
                <w:color w:val="1A1A1A"/>
                <w:sz w:val="21"/>
                <w:szCs w:val="21"/>
              </w:rPr>
              <w:t xml:space="preserve">two finished backyard units and no finished house</w:t>
            </w:r>
            <w:r>
              <w:rPr>
                <w:rFonts w:ascii="Calibri" w:cs="Calibri" w:eastAsia="Calibri" w:hAnsi="Calibri"/>
                <w:color w:val="1A1A1A"/>
                <w:sz w:val="21"/>
                <w:szCs w:val="21"/>
              </w:rPr>
              <w:t xml:space="preserve">, and the pipeline figure has been restated four times in four different units.</w:t>
            </w:r>
          </w:p>
        </w:tc>
      </w:tr>
    </w:tbl>
    <w:p>
      <w:pPr>
        <w:spacing w:after="120"/>
      </w:pPr>
    </w:p>
    <w:p>
      <w:pPr>
        <w:keepNext/>
        <w:keepLines/>
        <w:spacing w:after="140" w:before="340"/>
      </w:pPr>
      <w:r>
        <w:rPr>
          <w:rFonts w:ascii="Cambria" w:cs="Cambria" w:eastAsia="Cambria" w:hAnsi="Cambria"/>
          <w:b/>
          <w:bCs/>
          <w:color w:val="1F3A5F"/>
          <w:sz w:val="27"/>
          <w:szCs w:val="27"/>
        </w:rPr>
        <w:t xml:space="preserve">SCREEN</w:t>
      </w:r>
    </w:p>
    <w:p>
      <w:pPr>
        <w:keepNext/>
        <w:spacing w:after="80" w:line="276"/>
      </w:pPr>
      <w:r>
        <w:rPr>
          <w:rFonts w:ascii="Calibri" w:cs="Calibri" w:eastAsia="Calibri" w:hAnsi="Calibri"/>
          <w:b/>
          <w:bCs/>
          <w:color w:val="1A1A1A"/>
          <w:sz w:val="21"/>
          <w:szCs w:val="21"/>
        </w:rPr>
        <w:t xml:space="preserve">What it rests on</w:t>
      </w:r>
    </w:p>
    <w:p>
      <w:pPr>
        <w:pStyle w:val="ListParagraph"/>
        <w:numPr>
          <w:ilvl w:val="0"/>
          <w:numId w:val="2"/>
        </w:numPr>
        <w:spacing w:after="100" w:line="276"/>
      </w:pPr>
      <w:r>
        <w:rPr>
          <w:rFonts w:ascii="Calibri" w:cs="Calibri" w:eastAsia="Calibri" w:hAnsi="Calibri"/>
          <w:color w:val="1A1A1A"/>
          <w:sz w:val="21"/>
          <w:szCs w:val="21"/>
        </w:rPr>
        <w:t xml:space="preserve">The mechanism genuinely dodges the two costs that killed Katerra, Veev and Mighty Buildings — plant utilisation and freight. A real insight, not marketing.</w:t>
      </w:r>
    </w:p>
    <w:p>
      <w:pPr>
        <w:pStyle w:val="ListParagraph"/>
        <w:numPr>
          <w:ilvl w:val="0"/>
          <w:numId w:val="2"/>
        </w:numPr>
        <w:spacing w:after="100" w:line="276"/>
      </w:pPr>
      <w:r>
        <w:rPr>
          <w:rFonts w:ascii="Calibri" w:cs="Calibri" w:eastAsia="Calibri" w:hAnsi="Calibri"/>
          <w:color w:val="1A1A1A"/>
          <w:sz w:val="21"/>
          <w:szCs w:val="21"/>
        </w:rPr>
        <w:t xml:space="preserve">Nothing shows it completing houses. In fairness the whole market has rebuilt only ~1.5% of what burned — but a competitor holds a certificate of occupancy on a factory-built rebuild, and this company does not.</w:t>
      </w:r>
    </w:p>
    <w:p>
      <w:pPr>
        <w:pStyle w:val="ListParagraph"/>
        <w:numPr>
          <w:ilvl w:val="0"/>
          <w:numId w:val="2"/>
        </w:numPr>
        <w:spacing w:after="100" w:line="276"/>
      </w:pPr>
      <w:r>
        <w:rPr>
          <w:rFonts w:ascii="Calibri" w:cs="Calibri" w:eastAsia="Calibri" w:hAnsi="Calibri"/>
          <w:color w:val="1A1A1A"/>
          <w:sz w:val="21"/>
          <w:szCs w:val="21"/>
        </w:rPr>
        <w:t xml:space="preserve">The prize is bounded. Framing is ~16.6% of build cost [analog — NAHB 2024], so 80% off framing is ~13% off the house, against a 30% claim. At base margins a home contributes ~$39k against ~$3.4M of overhead: </w:t>
      </w:r>
      <w:r>
        <w:rPr>
          <w:rFonts w:ascii="Calibri" w:cs="Calibri" w:eastAsia="Calibri" w:hAnsi="Calibri"/>
          <w:b/>
          <w:bCs/>
          <w:color w:val="1A1A1A"/>
          <w:sz w:val="21"/>
          <w:szCs w:val="21"/>
        </w:rPr>
        <w:t xml:space="preserve">break-even is ~86 homes a year, against 17 in the base case</w:t>
      </w:r>
      <w:r>
        <w:rPr>
          <w:rFonts w:ascii="Calibri" w:cs="Calibri" w:eastAsia="Calibri" w:hAnsi="Calibri"/>
          <w:color w:val="1A1A1A"/>
          <w:sz w:val="21"/>
          <w:szCs w:val="21"/>
        </w:rPr>
        <w:t xml:space="preserve">.</w:t>
      </w:r>
    </w:p>
    <w:p>
      <w:pPr>
        <w:spacing w:after="140" w:line="276"/>
      </w:pPr>
      <w:r>
        <w:rPr>
          <w:rFonts w:ascii="Calibri" w:cs="Calibri" w:eastAsia="Calibri" w:hAnsi="Calibri"/>
          <w:b/>
          <w:bCs/>
          <w:color w:val="1A1A1A"/>
          <w:sz w:val="21"/>
          <w:szCs w:val="21"/>
        </w:rPr>
        <w:t xml:space="preserve">What would change my mind</w:t>
      </w:r>
      <w:r>
        <w:rPr>
          <w:rFonts w:ascii="Calibri" w:cs="Calibri" w:eastAsia="Calibri" w:hAnsi="Calibri"/>
          <w:color w:val="1A1A1A"/>
          <w:sz w:val="21"/>
          <w:szCs w:val="21"/>
        </w:rPr>
        <w:t xml:space="preserve"> — one occupied house with its final cost against contract · a CSLB licence number that resolves · evidence of a raise after the $1.5M of March 2024.</w:t>
      </w:r>
    </w:p>
    <w:p>
      <w:pPr>
        <w:keepNext/>
        <w:spacing w:after="80" w:line="276"/>
      </w:pPr>
      <w:r>
        <w:rPr>
          <w:rFonts w:ascii="Calibri" w:cs="Calibri" w:eastAsia="Calibri" w:hAnsi="Calibri"/>
          <w:b/>
          <w:bCs/>
          <w:color w:val="1A1A1A"/>
          <w:sz w:val="21"/>
          <w:szCs w:val="21"/>
        </w:rPr>
        <w:t xml:space="preserve">Highest-leverage unknowns</w:t>
      </w:r>
    </w:p>
    <w:p>
      <w:pPr>
        <w:keepNext/>
        <w:spacing w:after="90" w:before="200"/>
      </w:pPr>
      <w:r>
        <w:rPr>
          <w:rFonts w:ascii="Calibri" w:cs="Calibri" w:eastAsia="Calibri" w:hAnsi="Calibri"/>
          <w:b/>
          <w:bCs/>
          <w:color w:val="1F3A5F"/>
          <w:sz w:val="19"/>
          <w:szCs w:val="19"/>
        </w:rPr>
        <w:t xml:space="preserve">Exhibit 1</w:t>
      </w:r>
      <w:r>
        <w:rPr>
          <w:rFonts w:ascii="Calibri" w:cs="Calibri" w:eastAsia="Calibri" w:hAnsi="Calibri"/>
          <w:b/>
          <w:bCs/>
          <w:color w:val="1A1A1A"/>
          <w:sz w:val="19"/>
          <w:szCs w:val="19"/>
        </w:rPr>
        <w:t xml:space="preserve">  —  Highest-leverage unknowns</w:t>
      </w:r>
    </w:p>
    <w:tbl>
      <w:tblPr>
        <w:tblW w:type="dxa" w:w="9360"/>
        <w:tblBorders>
          <w:top w:val="nil"/>
          <w:left w:val="nil"/>
          <w:bottom w:val="single" w:color="1F3A5F" w:sz="8"/>
          <w:right w:val="nil"/>
          <w:insideH w:val="nil"/>
          <w:insideV w:val="nil"/>
        </w:tblBorders>
      </w:tblPr>
      <w:tblGrid>
        <w:gridCol w:w="2043"/>
        <w:gridCol w:w="3658"/>
        <w:gridCol w:w="3659"/>
      </w:tblGrid>
      <w:tr>
        <w:trPr>
          <w:cantSplit/>
          <w:tblHeader/>
        </w:trPr>
        <w:tc>
          <w:tcPr>
            <w:tcW w:type="dxa" w:w="2043"/>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Unknown</w:t>
            </w:r>
          </w:p>
        </w:tc>
        <w:tc>
          <w:tcPr>
            <w:tcW w:type="dxa" w:w="3658"/>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Why it matters</w:t>
            </w:r>
          </w:p>
        </w:tc>
        <w:tc>
          <w:tcPr>
            <w:tcW w:type="dxa" w:w="3659"/>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How to resolve it</w:t>
            </w:r>
          </w:p>
        </w:tc>
      </w:tr>
      <w:tr>
        <w:trPr>
          <w:cantSplit/>
        </w:trPr>
        <w:tc>
          <w:tcPr>
            <w:tcW w:type="dxa" w:w="2043"/>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People needed to run a job</w:t>
            </w:r>
          </w:p>
        </w:tc>
        <w:tc>
          <w:tcPr>
            <w:tcW w:type="dxa" w:w="3658"/>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Top of the ranking, a </w:t>
            </w:r>
            <w:r>
              <w:rPr>
                <w:rFonts w:ascii="Calibri" w:cs="Calibri" w:eastAsia="Calibri" w:hAnsi="Calibri"/>
                <w:b/>
                <w:bCs/>
                <w:color w:val="1F3A5F"/>
                <w:sz w:val="19"/>
                <w:szCs w:val="19"/>
              </w:rPr>
              <w:t xml:space="preserve">guess</w:t>
            </w:r>
            <w:r>
              <w:rPr>
                <w:rFonts w:ascii="Calibri" w:cs="Calibri" w:eastAsia="Calibri" w:hAnsi="Calibri"/>
                <w:color w:val="1A1A1A"/>
                <w:sz w:val="19"/>
                <w:szCs w:val="19"/>
              </w:rPr>
              <w:t xml:space="preserve">, and the direct test of the claimed 60% labour saving</w:t>
            </w:r>
          </w:p>
        </w:tc>
        <w:tc>
          <w:tcPr>
            <w:tcW w:type="dxa" w:w="3659"/>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Staffing on the three built or building units: roles, days on site</w:t>
            </w:r>
          </w:p>
        </w:tc>
      </w:tr>
      <w:tr>
        <w:trPr>
          <w:cantSplit/>
        </w:trPr>
        <w:tc>
          <w:tcPr>
            <w:tcW w:type="dxa" w:w="2043"/>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Gross margin already achieved</w:t>
            </w:r>
          </w:p>
        </w:tc>
        <w:tc>
          <w:tcPr>
            <w:tcW w:type="dxa" w:w="3658"/>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Second. Margin decides this, not volume</w:t>
            </w:r>
          </w:p>
        </w:tc>
        <w:tc>
          <w:tcPr>
            <w:tcW w:type="dxa" w:w="3659"/>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The job-cost ledger on the two completed ADUs</w:t>
            </w:r>
          </w:p>
        </w:tc>
      </w:tr>
      <w:tr>
        <w:trPr>
          <w:cantSplit/>
        </w:trPr>
        <w:tc>
          <w:tcPr>
            <w:tcW w:type="dxa" w:w="2043"/>
            <w:tcBorders>
              <w:top w:val="nil"/>
              <w:left w:val="nil"/>
              <w:bottom w:val="single" w:color="D9D9D9" w:sz="4"/>
              <w:right w:val="nil"/>
            </w:tcBorders>
            <w:tcMar>
              <w:top w:type="dxa" w:w="70"/>
              <w:left w:type="dxa" w:w="100"/>
              <w:bottom w:type="dxa" w:w="70"/>
              <w:right w:type="dxa" w:w="100"/>
            </w:tcMar>
          </w:tcPr>
          <w:p>
            <w:pPr>
              <w:keepNext/>
              <w:jc w:val="left"/>
            </w:pPr>
            <w:r>
              <w:rPr>
                <w:rFonts w:ascii="Calibri" w:cs="Calibri" w:eastAsia="Calibri" w:hAnsi="Calibri"/>
                <w:color w:val="1A1A1A"/>
                <w:sz w:val="19"/>
                <w:szCs w:val="19"/>
              </w:rPr>
              <w:t xml:space="preserve">Cash on hand</w:t>
            </w:r>
          </w:p>
        </w:tc>
        <w:tc>
          <w:tcPr>
            <w:tcW w:type="dxa" w:w="3658"/>
            <w:tcBorders>
              <w:top w:val="nil"/>
              <w:left w:val="nil"/>
              <w:bottom w:val="single" w:color="D9D9D9" w:sz="4"/>
              <w:right w:val="nil"/>
            </w:tcBorders>
            <w:tcMar>
              <w:top w:type="dxa" w:w="70"/>
              <w:left w:type="dxa" w:w="100"/>
              <w:bottom w:type="dxa" w:w="70"/>
              <w:right w:type="dxa" w:w="100"/>
            </w:tcMar>
          </w:tcPr>
          <w:p>
            <w:pPr>
              <w:keepNext/>
              <w:jc w:val="left"/>
            </w:pPr>
            <w:r>
              <w:rPr>
                <w:rFonts w:ascii="Calibri" w:cs="Calibri" w:eastAsia="Calibri" w:hAnsi="Calibri"/>
                <w:color w:val="1A1A1A"/>
                <w:sz w:val="19"/>
                <w:szCs w:val="19"/>
              </w:rPr>
              <w:t xml:space="preserve">$1.5M disclosed against ~$3.4M annual opex; an uncorroborated €11M on the lead investor's page</w:t>
            </w:r>
          </w:p>
        </w:tc>
        <w:tc>
          <w:tcPr>
            <w:tcW w:type="dxa" w:w="3659"/>
            <w:tcBorders>
              <w:top w:val="nil"/>
              <w:left w:val="nil"/>
              <w:bottom w:val="single" w:color="D9D9D9" w:sz="4"/>
              <w:right w:val="nil"/>
            </w:tcBorders>
            <w:tcMar>
              <w:top w:type="dxa" w:w="70"/>
              <w:left w:type="dxa" w:w="100"/>
              <w:bottom w:type="dxa" w:w="70"/>
              <w:right w:type="dxa" w:w="100"/>
            </w:tcMar>
          </w:tcPr>
          <w:p>
            <w:pPr>
              <w:keepNext/>
              <w:jc w:val="left"/>
            </w:pPr>
            <w:r>
              <w:rPr>
                <w:rFonts w:ascii="Calibri" w:cs="Calibri" w:eastAsia="Calibri" w:hAnsi="Calibri"/>
                <w:color w:val="1A1A1A"/>
                <w:sz w:val="19"/>
                <w:szCs w:val="19"/>
              </w:rPr>
              <w:t xml:space="preserve">Bank statement and cap table</w:t>
            </w:r>
          </w:p>
        </w:tc>
      </w:tr>
    </w:tbl>
    <w:p>
      <w:pPr>
        <w:spacing w:after="220" w:before="70"/>
      </w:pPr>
      <w:r>
        <w:rPr>
          <w:rFonts w:ascii="Calibri" w:cs="Calibri" w:eastAsia="Calibri" w:hAnsi="Calibri"/>
          <w:i/>
          <w:iCs/>
          <w:color w:val="5A5A5A"/>
          <w:sz w:val="16"/>
          <w:szCs w:val="16"/>
        </w:rPr>
        <w:t xml:space="preserve">Source: public records as cited. As of 16 September 2026.</w:t>
      </w:r>
    </w:p>
    <w:p>
      <w:pPr>
        <w:spacing w:after="140" w:line="276"/>
      </w:pPr>
      <w:r>
        <w:rPr>
          <w:rFonts w:ascii="Calibri" w:cs="Calibri" w:eastAsia="Calibri" w:hAnsi="Calibri"/>
          <w:b/>
          <w:bCs/>
          <w:color w:val="1A1A1A"/>
          <w:sz w:val="21"/>
          <w:szCs w:val="21"/>
        </w:rPr>
        <w:t xml:space="preserve">Runway:</w:t>
      </w:r>
      <w:r>
        <w:rPr>
          <w:rFonts w:ascii="Calibri" w:cs="Calibri" w:eastAsia="Calibri" w:hAnsi="Calibri"/>
          <w:color w:val="1A1A1A"/>
          <w:sz w:val="21"/>
          <w:szCs w:val="21"/>
        </w:rPr>
        <w:t xml:space="preserve"> ~13 months from the start of 2026 on base assumptions, before any raise · </w:t>
      </w:r>
      <w:r>
        <w:rPr>
          <w:rFonts w:ascii="Calibri" w:cs="Calibri" w:eastAsia="Calibri" w:hAnsi="Calibri"/>
          <w:b/>
          <w:bCs/>
          <w:color w:val="1A1A1A"/>
          <w:sz w:val="21"/>
          <w:szCs w:val="21"/>
        </w:rPr>
        <w:t xml:space="preserve">Last raise:</w:t>
      </w:r>
      <w:r>
        <w:rPr>
          <w:rFonts w:ascii="Calibri" w:cs="Calibri" w:eastAsia="Calibri" w:hAnsi="Calibri"/>
          <w:color w:val="1A1A1A"/>
          <w:sz w:val="21"/>
          <w:szCs w:val="21"/>
        </w:rPr>
        <w:t xml:space="preserve"> $1.5M pre-seed, 2024-03-20 — no Form D filed</w:t>
      </w:r>
    </w:p>
    <w:p>
      <w:pPr>
        <w:keepNext/>
        <w:keepLines/>
        <w:spacing w:after="140" w:before="340"/>
      </w:pPr>
      <w:r>
        <w:rPr>
          <w:rFonts w:ascii="Cambria" w:cs="Cambria" w:eastAsia="Cambria" w:hAnsi="Cambria"/>
          <w:b/>
          <w:bCs/>
          <w:color w:val="1F3A5F"/>
          <w:sz w:val="27"/>
          <w:szCs w:val="27"/>
        </w:rPr>
        <w:t xml:space="preserve">DOSSIER</w:t>
      </w:r>
    </w:p>
    <w:p>
      <w:pPr>
        <w:keepNext/>
        <w:keepLines/>
        <w:spacing w:after="140" w:before="340"/>
      </w:pPr>
      <w:r>
        <w:rPr>
          <w:rFonts w:ascii="Cambria" w:cs="Cambria" w:eastAsia="Cambria" w:hAnsi="Cambria"/>
          <w:b/>
          <w:bCs/>
          <w:color w:val="1F3A5F"/>
          <w:sz w:val="27"/>
          <w:szCs w:val="27"/>
        </w:rPr>
        <w:t xml:space="preserve">1. Snapshot</w:t>
      </w:r>
    </w:p>
    <w:p>
      <w:pPr>
        <w:keepNext/>
        <w:spacing w:after="90" w:before="200"/>
      </w:pPr>
      <w:r>
        <w:rPr>
          <w:rFonts w:ascii="Calibri" w:cs="Calibri" w:eastAsia="Calibri" w:hAnsi="Calibri"/>
          <w:b/>
          <w:bCs/>
          <w:color w:val="1F3A5F"/>
          <w:sz w:val="19"/>
          <w:szCs w:val="19"/>
        </w:rPr>
        <w:t xml:space="preserve">Exhibit 2</w:t>
      </w:r>
      <w:r>
        <w:rPr>
          <w:rFonts w:ascii="Calibri" w:cs="Calibri" w:eastAsia="Calibri" w:hAnsi="Calibri"/>
          <w:b/>
          <w:bCs/>
          <w:color w:val="1A1A1A"/>
          <w:sz w:val="19"/>
          <w:szCs w:val="19"/>
        </w:rPr>
        <w:t xml:space="preserve">  —  Snapshot</w:t>
      </w:r>
    </w:p>
    <w:tbl>
      <w:tblPr>
        <w:tblW w:type="dxa" w:w="9360"/>
        <w:tblBorders>
          <w:top w:val="nil"/>
          <w:left w:val="nil"/>
          <w:bottom w:val="single" w:color="1F3A5F" w:sz="8"/>
          <w:right w:val="nil"/>
          <w:insideH w:val="nil"/>
          <w:insideV w:val="nil"/>
        </w:tblBorders>
      </w:tblPr>
      <w:tblGrid>
        <w:gridCol w:w="1640"/>
        <w:gridCol w:w="7720"/>
      </w:tblGrid>
      <w:tr>
        <w:trPr>
          <w:cantSplit/>
          <w:tblHeader/>
        </w:trPr>
        <w:tc>
          <w:tcPr>
            <w:tcW w:type="dxa" w:w="164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Item</w:t>
            </w:r>
          </w:p>
        </w:tc>
        <w:tc>
          <w:tcPr>
            <w:tcW w:type="dxa" w:w="772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Detail</w:t>
            </w:r>
          </w:p>
        </w:tc>
      </w:tr>
      <w:tr>
        <w:trPr>
          <w:cantSplit/>
        </w:trPr>
        <w:tc>
          <w:tcPr>
            <w:tcW w:type="dxa" w:w="164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Founded</w:t>
            </w:r>
          </w:p>
        </w:tc>
        <w:tc>
          <w:tcPr>
            <w:tcW w:type="dxa" w:w="772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2022 [inference — Preqin profile, consistent with first press coverage in May 2022]</w:t>
            </w:r>
          </w:p>
        </w:tc>
      </w:tr>
      <w:tr>
        <w:trPr>
          <w:cantSplit/>
        </w:trPr>
        <w:tc>
          <w:tcPr>
            <w:tcW w:type="dxa" w:w="164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Location</w:t>
            </w:r>
          </w:p>
        </w:tc>
        <w:tc>
          <w:tcPr>
            <w:tcW w:type="dxa" w:w="772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181 2nd Street, San Francisco CA 94105; site presence at 16855 Livorno Dr, Pacific Palisades [observed]. Engineering and design in Belgrade, Serbia [filing]</w:t>
            </w:r>
          </w:p>
        </w:tc>
      </w:tr>
      <w:tr>
        <w:trPr>
          <w:cantSplit/>
        </w:trPr>
        <w:tc>
          <w:tcPr>
            <w:tcW w:type="dxa" w:w="164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Stage</w:t>
            </w:r>
          </w:p>
        </w:tc>
        <w:tc>
          <w:tcPr>
            <w:tcW w:type="dxa" w:w="772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Pre-Series A. Disclosed raise: $1.5M pre-seed, March 2024 [press]</w:t>
            </w:r>
          </w:p>
        </w:tc>
      </w:tr>
      <w:tr>
        <w:trPr>
          <w:cantSplit/>
        </w:trPr>
        <w:tc>
          <w:tcPr>
            <w:tcW w:type="dxa" w:w="164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Headcount</w:t>
            </w:r>
          </w:p>
        </w:tc>
        <w:tc>
          <w:tcPr>
            <w:tcW w:type="dxa" w:w="772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30 profiles name Cosmic as current employer on LinkedIn; the band the company sets on that same page reads "2–10"; the Serbian entity registers 6 [inference]</w:t>
            </w:r>
          </w:p>
        </w:tc>
      </w:tr>
      <w:tr>
        <w:trPr>
          <w:cantSplit/>
        </w:trPr>
        <w:tc>
          <w:tcPr>
            <w:tcW w:type="dxa" w:w="164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Total raised</w:t>
            </w:r>
          </w:p>
        </w:tc>
        <w:tc>
          <w:tcPr>
            <w:tcW w:type="dxa" w:w="772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$1.5M disclosed [press]. No Form D exists on EDGAR [filing]</w:t>
            </w:r>
          </w:p>
        </w:tc>
      </w:tr>
      <w:tr>
        <w:trPr>
          <w:cantSplit/>
        </w:trPr>
        <w:tc>
          <w:tcPr>
            <w:tcW w:type="dxa" w:w="164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Last round</w:t>
            </w:r>
          </w:p>
        </w:tc>
        <w:tc>
          <w:tcPr>
            <w:tcW w:type="dxa" w:w="772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Pre-seed, 2024-03-20 — Fifth Quarter Ventures (lead), CiRi Ventures, Climate Capital, Navitas Capital, angels [press]</w:t>
            </w:r>
          </w:p>
        </w:tc>
      </w:tr>
      <w:tr>
        <w:trPr>
          <w:cantSplit/>
        </w:trPr>
        <w:tc>
          <w:tcPr>
            <w:tcW w:type="dxa" w:w="164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Legal form</w:t>
            </w:r>
          </w:p>
        </w:tc>
        <w:tc>
          <w:tcPr>
            <w:tcW w:type="dxa" w:w="772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"Public Benefit Corporation" [company-stated]; Serbian operating entity Cosmic Buildings D.O.O., active since 2023-02-17 [filing]</w:t>
            </w:r>
          </w:p>
        </w:tc>
      </w:tr>
      <w:tr>
        <w:trPr>
          <w:cantSplit/>
        </w:trPr>
        <w:tc>
          <w:tcPr>
            <w:tcW w:type="dxa" w:w="1640"/>
            <w:tcBorders>
              <w:top w:val="nil"/>
              <w:left w:val="nil"/>
              <w:bottom w:val="single" w:color="D9D9D9" w:sz="4"/>
              <w:right w:val="nil"/>
            </w:tcBorders>
            <w:tcMar>
              <w:top w:type="dxa" w:w="70"/>
              <w:left w:type="dxa" w:w="100"/>
              <w:bottom w:type="dxa" w:w="70"/>
              <w:right w:type="dxa" w:w="100"/>
            </w:tcMar>
          </w:tcPr>
          <w:p>
            <w:pPr>
              <w:keepNext/>
              <w:jc w:val="left"/>
            </w:pPr>
            <w:r>
              <w:rPr>
                <w:rFonts w:ascii="Calibri" w:cs="Calibri" w:eastAsia="Calibri" w:hAnsi="Calibri"/>
                <w:color w:val="1A1A1A"/>
                <w:sz w:val="19"/>
                <w:szCs w:val="19"/>
              </w:rPr>
              <w:t xml:space="preserve">Website</w:t>
            </w:r>
          </w:p>
        </w:tc>
        <w:tc>
          <w:tcPr>
            <w:tcW w:type="dxa" w:w="7720"/>
            <w:tcBorders>
              <w:top w:val="nil"/>
              <w:left w:val="nil"/>
              <w:bottom w:val="single" w:color="D9D9D9" w:sz="4"/>
              <w:right w:val="nil"/>
            </w:tcBorders>
            <w:tcMar>
              <w:top w:type="dxa" w:w="70"/>
              <w:left w:type="dxa" w:w="100"/>
              <w:bottom w:type="dxa" w:w="70"/>
              <w:right w:type="dxa" w:w="100"/>
            </w:tcMar>
          </w:tcPr>
          <w:p>
            <w:pPr>
              <w:keepNext/>
              <w:jc w:val="left"/>
            </w:pPr>
            <w:r>
              <w:rPr>
                <w:rFonts w:ascii="Calibri" w:cs="Calibri" w:eastAsia="Calibri" w:hAnsi="Calibri"/>
                <w:color w:val="1A1A1A"/>
                <w:sz w:val="19"/>
                <w:szCs w:val="19"/>
              </w:rPr>
              <w:t xml:space="preserve">cosmicbuildings.com</w:t>
            </w:r>
          </w:p>
        </w:tc>
      </w:tr>
    </w:tbl>
    <w:p>
      <w:pPr>
        <w:spacing w:after="220" w:before="70"/>
      </w:pPr>
      <w:r>
        <w:rPr>
          <w:rFonts w:ascii="Calibri" w:cs="Calibri" w:eastAsia="Calibri" w:hAnsi="Calibri"/>
          <w:i/>
          <w:iCs/>
          <w:color w:val="5A5A5A"/>
          <w:sz w:val="16"/>
          <w:szCs w:val="16"/>
        </w:rPr>
        <w:t xml:space="preserve">Source: public records as cited. As of 16 September 2026.</w:t>
      </w:r>
    </w:p>
    <w:p>
      <w:pPr>
        <w:spacing w:after="140" w:line="276"/>
      </w:pPr>
      <w:r>
        <w:rPr>
          <w:rFonts w:ascii="Calibri" w:cs="Calibri" w:eastAsia="Calibri" w:hAnsi="Calibri"/>
          <w:color w:val="1A1A1A"/>
          <w:sz w:val="21"/>
          <w:szCs w:val="21"/>
        </w:rPr>
        <w:t xml:space="preserve">Cosmic sells finished houses and backyard units in California and builds them by parking a trailer-mounted cell of ABB industrial robot arms on the customer's own lot, where it cuts timber studs and assembles and sheathes wall, floor and roof panels [press]. A human crew then erects the panels and finishes the building conventionally [press]. Three ADU models are published at $279,000 for 380 sq ft, $359,000 for 570 sq ft and $419,000 for 720 sq ft [observed]; custom rebuilds are quoted at $550–700 per square foot [company-stated].</w:t>
      </w:r>
    </w:p>
    <w:p>
      <w:pPr>
        <w:spacing w:after="140" w:line="276"/>
      </w:pPr>
      <w:r>
        <w:rPr>
          <w:rFonts w:ascii="Calibri" w:cs="Calibri" w:eastAsia="Calibri" w:hAnsi="Calibri"/>
          <w:color w:val="1A1A1A"/>
          <w:sz w:val="21"/>
          <w:szCs w:val="21"/>
        </w:rPr>
        <w:t xml:space="preserve">The company describes itself as a manufacturer — "Cosmic AI-driven Mobile Robotic factories" [company-stated]. What the mechanism actually describes is a general contractor that has automated the framing step. That gap between the self-description and the mechanism is the single most useful thing to hold in mind when reading everything below.</w:t>
      </w:r>
    </w:p>
    <w:p>
      <w:pPr>
        <w:keepNext/>
        <w:keepLines/>
        <w:spacing w:after="140" w:before="340"/>
      </w:pPr>
      <w:r>
        <w:rPr>
          <w:rFonts w:ascii="Cambria" w:cs="Cambria" w:eastAsia="Cambria" w:hAnsi="Cambria"/>
          <w:b/>
          <w:bCs/>
          <w:color w:val="1F3A5F"/>
          <w:sz w:val="27"/>
          <w:szCs w:val="27"/>
        </w:rPr>
        <w:t xml:space="preserve">2. Team</w:t>
      </w:r>
    </w:p>
    <w:p>
      <w:pPr>
        <w:keepNext/>
        <w:spacing w:after="90" w:before="200"/>
      </w:pPr>
      <w:r>
        <w:rPr>
          <w:rFonts w:ascii="Calibri" w:cs="Calibri" w:eastAsia="Calibri" w:hAnsi="Calibri"/>
          <w:b/>
          <w:bCs/>
          <w:color w:val="1F3A5F"/>
          <w:sz w:val="19"/>
          <w:szCs w:val="19"/>
        </w:rPr>
        <w:t xml:space="preserve">Exhibit 3</w:t>
      </w:r>
      <w:r>
        <w:rPr>
          <w:rFonts w:ascii="Calibri" w:cs="Calibri" w:eastAsia="Calibri" w:hAnsi="Calibri"/>
          <w:b/>
          <w:bCs/>
          <w:color w:val="1A1A1A"/>
          <w:sz w:val="19"/>
          <w:szCs w:val="19"/>
        </w:rPr>
        <w:t xml:space="preserve">  —  Team</w:t>
      </w:r>
    </w:p>
    <w:tbl>
      <w:tblPr>
        <w:tblW w:type="dxa" w:w="9360"/>
        <w:tblBorders>
          <w:top w:val="nil"/>
          <w:left w:val="nil"/>
          <w:bottom w:val="single" w:color="1F3A5F" w:sz="8"/>
          <w:right w:val="nil"/>
          <w:insideH w:val="nil"/>
          <w:insideV w:val="nil"/>
        </w:tblBorders>
      </w:tblPr>
      <w:tblGrid>
        <w:gridCol w:w="1450"/>
        <w:gridCol w:w="2245"/>
        <w:gridCol w:w="2714"/>
        <w:gridCol w:w="2951"/>
      </w:tblGrid>
      <w:tr>
        <w:trPr>
          <w:cantSplit/>
          <w:tblHeader/>
        </w:trPr>
        <w:tc>
          <w:tcPr>
            <w:tcW w:type="dxa" w:w="145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Person</w:t>
            </w:r>
          </w:p>
        </w:tc>
        <w:tc>
          <w:tcPr>
            <w:tcW w:type="dxa" w:w="2245"/>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Role</w:t>
            </w:r>
          </w:p>
        </w:tc>
        <w:tc>
          <w:tcPr>
            <w:tcW w:type="dxa" w:w="2714"/>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Prior</w:t>
            </w:r>
          </w:p>
        </w:tc>
        <w:tc>
          <w:tcPr>
            <w:tcW w:type="dxa" w:w="2951"/>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Prior outcome</w:t>
            </w:r>
          </w:p>
        </w:tc>
      </w:tr>
      <w:tr>
        <w:trPr>
          <w:cantSplit/>
        </w:trPr>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Sasha Jokic (Saša Jokić)</w:t>
            </w:r>
          </w:p>
        </w:tc>
        <w:tc>
          <w:tcPr>
            <w:tcW w:type="dxa" w:w="2245"/>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Founder, CEO</w:t>
            </w:r>
          </w:p>
        </w:tc>
        <w:tc>
          <w:tcPr>
            <w:tcW w:type="dxa" w:w="271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Founder/CEO, </w:t>
            </w:r>
            <w:r>
              <w:rPr>
                <w:rFonts w:ascii="Calibri" w:cs="Calibri" w:eastAsia="Calibri" w:hAnsi="Calibri"/>
                <w:b/>
                <w:bCs/>
                <w:color w:val="1A1A1A"/>
                <w:sz w:val="19"/>
                <w:szCs w:val="19"/>
              </w:rPr>
              <w:t xml:space="preserve">Formdwell / Formdwell Robotics</w:t>
            </w:r>
            <w:r>
              <w:rPr>
                <w:rFonts w:ascii="Calibri" w:cs="Calibri" w:eastAsia="Calibri" w:hAnsi="Calibri"/>
                <w:color w:val="1A1A1A"/>
                <w:sz w:val="19"/>
                <w:szCs w:val="19"/>
              </w:rPr>
              <w:t xml:space="preserve"> (2017, Pier 9 SF — Autodesk's facility; backed by Village Global and Autodesk) [company-stated]; architect at </w:t>
            </w:r>
            <w:r>
              <w:rPr>
                <w:rFonts w:ascii="Calibri" w:cs="Calibri" w:eastAsia="Calibri" w:hAnsi="Calibri"/>
                <w:b/>
                <w:bCs/>
                <w:color w:val="1A1A1A"/>
                <w:sz w:val="19"/>
                <w:szCs w:val="19"/>
              </w:rPr>
              <w:t xml:space="preserve">UNStudio</w:t>
            </w:r>
            <w:r>
              <w:rPr>
                <w:rFonts w:ascii="Calibri" w:cs="Calibri" w:eastAsia="Calibri" w:hAnsi="Calibri"/>
                <w:color w:val="1A1A1A"/>
                <w:sz w:val="19"/>
                <w:szCs w:val="19"/>
              </w:rPr>
              <w:t xml:space="preserve">, Amsterdam [company-stated]; co-led Mataerial, Minibuilders and FabClay at IaaC Barcelona [company-stated]</w:t>
            </w:r>
          </w:p>
        </w:tc>
        <w:tc>
          <w:tcPr>
            <w:tcW w:type="dxa" w:w="2951"/>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Formdwell: </w:t>
            </w:r>
            <w:r>
              <w:rPr>
                <w:rFonts w:ascii="Calibri" w:cs="Calibri" w:eastAsia="Calibri" w:hAnsi="Calibri"/>
                <w:b/>
                <w:bCs/>
                <w:color w:val="1A1A1A"/>
                <w:sz w:val="19"/>
                <w:szCs w:val="19"/>
              </w:rPr>
              <w:t xml:space="preserve">no acquisition and no wind-up notice found</w:t>
            </w:r>
            <w:r>
              <w:rPr>
                <w:rFonts w:ascii="Calibri" w:cs="Calibri" w:eastAsia="Calibri" w:hAnsi="Calibri"/>
                <w:color w:val="1A1A1A"/>
                <w:sz w:val="19"/>
                <w:szCs w:val="19"/>
              </w:rPr>
              <w:t xml:space="preserve">. formdwell.com still resolves and is a one-line stub — "Mobile construction factory for delivering architect-designed premium houses faster and more affordably" — with an email form, no team, no product, no news [inference]. Its LinkedIn page has no activity. Reported by aggregator summaries as operating 2017–2020; I could not open the underlying record [inference]</w:t>
            </w:r>
          </w:p>
        </w:tc>
      </w:tr>
      <w:tr>
        <w:trPr>
          <w:cantSplit/>
        </w:trPr>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Landon Nash</w:t>
            </w:r>
          </w:p>
        </w:tc>
        <w:tc>
          <w:tcPr>
            <w:tcW w:type="dxa" w:w="2245"/>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Co-founder, Chief Revenue Officer</w:t>
            </w:r>
          </w:p>
        </w:tc>
        <w:tc>
          <w:tcPr>
            <w:tcW w:type="dxa" w:w="271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Residential real-estate agent, San Francisco (Paragon Real Estate Group) [press]</w:t>
            </w:r>
          </w:p>
        </w:tc>
        <w:tc>
          <w:tcPr>
            <w:tcW w:type="dxa" w:w="2951"/>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w:t>
            </w:r>
          </w:p>
        </w:tc>
      </w:tr>
      <w:tr>
        <w:trPr>
          <w:cantSplit/>
        </w:trPr>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Kent Newmark</w:t>
            </w:r>
          </w:p>
        </w:tc>
        <w:tc>
          <w:tcPr>
            <w:tcW w:type="dxa" w:w="2245"/>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COO (reported start 2025-04)</w:t>
            </w:r>
          </w:p>
        </w:tc>
        <w:tc>
          <w:tcPr>
            <w:tcW w:type="dxa" w:w="271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Long Term Stock Exchange; Young's Market; Undeterred Capital [inference — aggregator]</w:t>
            </w:r>
          </w:p>
        </w:tc>
        <w:tc>
          <w:tcPr>
            <w:tcW w:type="dxa" w:w="2951"/>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w:t>
            </w:r>
          </w:p>
        </w:tc>
      </w:tr>
      <w:tr>
        <w:trPr>
          <w:cantSplit/>
        </w:trPr>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Dr. Miloš Dimčić</w:t>
            </w:r>
          </w:p>
        </w:tc>
        <w:tc>
          <w:tcPr>
            <w:tcW w:type="dxa" w:w="2245"/>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Head of Design Automation</w:t>
            </w:r>
          </w:p>
        </w:tc>
        <w:tc>
          <w:tcPr>
            <w:tcW w:type="dxa" w:w="271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Founder, Programming Architecture (2011) and OnceMore GmbH — both apparently still operating [company-stated, his own firm's site]</w:t>
            </w:r>
          </w:p>
        </w:tc>
        <w:tc>
          <w:tcPr>
            <w:tcW w:type="dxa" w:w="2951"/>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w:t>
            </w:r>
          </w:p>
        </w:tc>
      </w:tr>
      <w:tr>
        <w:trPr>
          <w:cantSplit/>
        </w:trPr>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Nemanja Mićović</w:t>
            </w:r>
          </w:p>
        </w:tc>
        <w:tc>
          <w:tcPr>
            <w:tcW w:type="dxa" w:w="2245"/>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Head of Artificial Intelligence (Belgrade)</w:t>
            </w:r>
          </w:p>
        </w:tc>
        <w:tc>
          <w:tcPr>
            <w:tcW w:type="dxa" w:w="271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PhD Data Science, University of Belgrade [inference — aggregator]</w:t>
            </w:r>
          </w:p>
        </w:tc>
        <w:tc>
          <w:tcPr>
            <w:tcW w:type="dxa" w:w="2951"/>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w:t>
            </w:r>
          </w:p>
        </w:tc>
      </w:tr>
      <w:tr>
        <w:trPr>
          <w:cantSplit/>
        </w:trPr>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David Emilio Hidalgo</w:t>
            </w:r>
          </w:p>
        </w:tc>
        <w:tc>
          <w:tcPr>
            <w:tcW w:type="dxa" w:w="2245"/>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Head of Project Development &amp; Delivery</w:t>
            </w:r>
          </w:p>
        </w:tc>
        <w:tc>
          <w:tcPr>
            <w:tcW w:type="dxa" w:w="271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David Hidalgo Architects (LA); WeWork [inference — aggregator]</w:t>
            </w:r>
          </w:p>
        </w:tc>
        <w:tc>
          <w:tcPr>
            <w:tcW w:type="dxa" w:w="2951"/>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w:t>
            </w:r>
          </w:p>
        </w:tc>
      </w:tr>
      <w:tr>
        <w:trPr>
          <w:cantSplit/>
        </w:trPr>
        <w:tc>
          <w:tcPr>
            <w:tcW w:type="dxa" w:w="1450"/>
            <w:tcBorders>
              <w:top w:val="nil"/>
              <w:left w:val="nil"/>
              <w:bottom w:val="single" w:color="D9D9D9" w:sz="4"/>
              <w:right w:val="nil"/>
            </w:tcBorders>
            <w:tcMar>
              <w:top w:type="dxa" w:w="70"/>
              <w:left w:type="dxa" w:w="100"/>
              <w:bottom w:type="dxa" w:w="70"/>
              <w:right w:type="dxa" w:w="100"/>
            </w:tcMar>
          </w:tcPr>
          <w:p>
            <w:pPr>
              <w:keepNext/>
              <w:jc w:val="left"/>
            </w:pPr>
            <w:r>
              <w:rPr>
                <w:rFonts w:ascii="Calibri" w:cs="Calibri" w:eastAsia="Calibri" w:hAnsi="Calibri"/>
                <w:color w:val="1A1A1A"/>
                <w:sz w:val="19"/>
                <w:szCs w:val="19"/>
              </w:rPr>
              <w:t xml:space="preserve">Chrysanthe Gussis</w:t>
            </w:r>
          </w:p>
        </w:tc>
        <w:tc>
          <w:tcPr>
            <w:tcW w:type="dxa" w:w="2245"/>
            <w:tcBorders>
              <w:top w:val="nil"/>
              <w:left w:val="nil"/>
              <w:bottom w:val="single" w:color="D9D9D9" w:sz="4"/>
              <w:right w:val="nil"/>
            </w:tcBorders>
            <w:tcMar>
              <w:top w:type="dxa" w:w="70"/>
              <w:left w:type="dxa" w:w="100"/>
              <w:bottom w:type="dxa" w:w="70"/>
              <w:right w:type="dxa" w:w="100"/>
            </w:tcMar>
          </w:tcPr>
          <w:p>
            <w:pPr>
              <w:keepNext/>
              <w:jc w:val="left"/>
            </w:pPr>
            <w:r>
              <w:rPr>
                <w:rFonts w:ascii="Calibri" w:cs="Calibri" w:eastAsia="Calibri" w:hAnsi="Calibri"/>
                <w:color w:val="1A1A1A"/>
                <w:sz w:val="19"/>
                <w:szCs w:val="19"/>
              </w:rPr>
              <w:t xml:space="preserve">Strategic Advisor (not an employee)</w:t>
            </w:r>
          </w:p>
        </w:tc>
        <w:tc>
          <w:tcPr>
            <w:tcW w:type="dxa" w:w="2714"/>
            <w:tcBorders>
              <w:top w:val="nil"/>
              <w:left w:val="nil"/>
              <w:bottom w:val="single" w:color="D9D9D9" w:sz="4"/>
              <w:right w:val="nil"/>
            </w:tcBorders>
            <w:tcMar>
              <w:top w:type="dxa" w:w="70"/>
              <w:left w:type="dxa" w:w="100"/>
              <w:bottom w:type="dxa" w:w="70"/>
              <w:right w:type="dxa" w:w="100"/>
            </w:tcMar>
          </w:tcPr>
          <w:p>
            <w:pPr>
              <w:keepNext/>
              <w:jc w:val="left"/>
            </w:pPr>
            <w:r>
              <w:rPr>
                <w:rFonts w:ascii="Calibri" w:cs="Calibri" w:eastAsia="Calibri" w:hAnsi="Calibri"/>
                <w:color w:val="1A1A1A"/>
                <w:sz w:val="19"/>
                <w:szCs w:val="19"/>
              </w:rPr>
              <w:t xml:space="preserve">Legal &amp; finance, SolarCity; SSL Law Firm; advisory board, Bye Aerospace [press]</w:t>
            </w:r>
          </w:p>
        </w:tc>
        <w:tc>
          <w:tcPr>
            <w:tcW w:type="dxa" w:w="2951"/>
            <w:tcBorders>
              <w:top w:val="nil"/>
              <w:left w:val="nil"/>
              <w:bottom w:val="single" w:color="D9D9D9" w:sz="4"/>
              <w:right w:val="nil"/>
            </w:tcBorders>
            <w:tcMar>
              <w:top w:type="dxa" w:w="70"/>
              <w:left w:type="dxa" w:w="100"/>
              <w:bottom w:type="dxa" w:w="70"/>
              <w:right w:type="dxa" w:w="100"/>
            </w:tcMar>
          </w:tcPr>
          <w:p>
            <w:pPr>
              <w:keepNext/>
              <w:jc w:val="left"/>
            </w:pPr>
            <w:r>
              <w:rPr>
                <w:rFonts w:ascii="Calibri" w:cs="Calibri" w:eastAsia="Calibri" w:hAnsi="Calibri"/>
                <w:color w:val="1A1A1A"/>
                <w:sz w:val="19"/>
                <w:szCs w:val="19"/>
              </w:rPr>
              <w:t xml:space="preserve">—</w:t>
            </w:r>
          </w:p>
        </w:tc>
      </w:tr>
    </w:tbl>
    <w:p>
      <w:pPr>
        <w:spacing w:after="220" w:before="70"/>
      </w:pPr>
      <w:r>
        <w:rPr>
          <w:rFonts w:ascii="Calibri" w:cs="Calibri" w:eastAsia="Calibri" w:hAnsi="Calibri"/>
          <w:i/>
          <w:iCs/>
          <w:color w:val="5A5A5A"/>
          <w:sz w:val="16"/>
          <w:szCs w:val="16"/>
        </w:rPr>
        <w:t xml:space="preserve">Source: public records as cited. As of 16 September 2026.</w:t>
      </w:r>
    </w:p>
    <w:p>
      <w:pPr>
        <w:keepNext/>
        <w:spacing w:after="80" w:line="276"/>
      </w:pPr>
      <w:r>
        <w:rPr>
          <w:rFonts w:ascii="Calibri" w:cs="Calibri" w:eastAsia="Calibri" w:hAnsi="Calibri"/>
          <w:b/>
          <w:bCs/>
          <w:color w:val="1A1A1A"/>
          <w:sz w:val="21"/>
          <w:szCs w:val="21"/>
        </w:rPr>
        <w:t xml:space="preserve">Observations</w:t>
      </w:r>
    </w:p>
    <w:p>
      <w:pPr>
        <w:pStyle w:val="ListParagraph"/>
        <w:numPr>
          <w:ilvl w:val="0"/>
          <w:numId w:val="3"/>
        </w:numPr>
        <w:spacing w:after="100" w:line="276"/>
      </w:pPr>
      <w:r>
        <w:rPr>
          <w:rFonts w:ascii="Calibri" w:cs="Calibri" w:eastAsia="Calibri" w:hAnsi="Calibri"/>
          <w:b/>
          <w:bCs/>
          <w:color w:val="1A1A1A"/>
          <w:sz w:val="21"/>
          <w:szCs w:val="21"/>
        </w:rPr>
        <w:t xml:space="preserve">The founder has run this business before.</w:t>
      </w:r>
      <w:r>
        <w:rPr>
          <w:rFonts w:ascii="Calibri" w:cs="Calibri" w:eastAsia="Calibri" w:hAnsi="Calibri"/>
          <w:color w:val="1A1A1A"/>
          <w:sz w:val="21"/>
          <w:szCs w:val="21"/>
        </w:rPr>
        <w:t xml:space="preserve"> Formdwell (2017) pitched a "mobile construction factory"; that is the same sentence Cosmic uses today [inference]. The prior company has no recorded outcome — no acquisition, no public wind-down, a dormant site still carrying the pitch. A repeat attempt at the same idea is a legitimate reason to back someone; a prior attempt whose ending is not on the record is a diligence item, not a credential.</w:t>
      </w:r>
    </w:p>
    <w:p>
      <w:pPr>
        <w:pStyle w:val="ListParagraph"/>
        <w:numPr>
          <w:ilvl w:val="0"/>
          <w:numId w:val="3"/>
        </w:numPr>
        <w:spacing w:after="100" w:line="276"/>
      </w:pPr>
      <w:r>
        <w:rPr>
          <w:rFonts w:ascii="Calibri" w:cs="Calibri" w:eastAsia="Calibri" w:hAnsi="Calibri"/>
          <w:b/>
          <w:bCs/>
          <w:color w:val="1A1A1A"/>
          <w:sz w:val="21"/>
          <w:szCs w:val="21"/>
        </w:rPr>
        <w:t xml:space="preserve">No CTO, no head of engineering, and no head of manufacturing is named in any source</w:t>
      </w:r>
      <w:r>
        <w:rPr>
          <w:rFonts w:ascii="Calibri" w:cs="Calibri" w:eastAsia="Calibri" w:hAnsi="Calibri"/>
          <w:color w:val="1A1A1A"/>
          <w:sz w:val="21"/>
          <w:szCs w:val="21"/>
        </w:rPr>
        <w:t xml:space="preserve"> — not on the company site, not in press, not in aggregator listings. The senior technical titles that do exist are Head of AI and Head of Design Automation, both software. For a company whose claim is a robotic factory, the absence of a named manufacturing or hardware lead is a finding [inference].</w:t>
      </w:r>
    </w:p>
    <w:p>
      <w:pPr>
        <w:pStyle w:val="ListParagraph"/>
        <w:numPr>
          <w:ilvl w:val="0"/>
          <w:numId w:val="3"/>
        </w:numPr>
        <w:spacing w:after="100" w:line="276"/>
      </w:pPr>
      <w:r>
        <w:rPr>
          <w:rFonts w:ascii="Calibri" w:cs="Calibri" w:eastAsia="Calibri" w:hAnsi="Calibri"/>
          <w:b/>
          <w:bCs/>
          <w:color w:val="1A1A1A"/>
          <w:sz w:val="21"/>
          <w:szCs w:val="21"/>
        </w:rPr>
        <w:t xml:space="preserve">The robot is ABB's.</w:t>
      </w:r>
      <w:r>
        <w:rPr>
          <w:rFonts w:ascii="Calibri" w:cs="Calibri" w:eastAsia="Calibri" w:hAnsi="Calibri"/>
          <w:color w:val="1A1A1A"/>
          <w:sz w:val="21"/>
          <w:szCs w:val="21"/>
        </w:rPr>
        <w:t xml:space="preserve"> The cell uses ABB IRB 6710 industrial arms with ABB RobotStudio [press — joint ABB/Cosmic release, Aug 2025]. What is Cosmic's own is the workstation cell around the arm and the model that drives it.</w:t>
      </w:r>
    </w:p>
    <w:p>
      <w:pPr>
        <w:pStyle w:val="ListParagraph"/>
        <w:numPr>
          <w:ilvl w:val="0"/>
          <w:numId w:val="3"/>
        </w:numPr>
        <w:spacing w:after="100" w:line="276"/>
      </w:pPr>
      <w:r>
        <w:rPr>
          <w:rFonts w:ascii="Calibri" w:cs="Calibri" w:eastAsia="Calibri" w:hAnsi="Calibri"/>
          <w:b/>
          <w:bCs/>
          <w:color w:val="1A1A1A"/>
          <w:sz w:val="21"/>
          <w:szCs w:val="21"/>
        </w:rPr>
        <w:t xml:space="preserve">The company has no team page.</w:t>
      </w:r>
      <w:r>
        <w:rPr>
          <w:rFonts w:ascii="Calibri" w:cs="Calibri" w:eastAsia="Calibri" w:hAnsi="Calibri"/>
          <w:color w:val="1A1A1A"/>
          <w:sz w:val="21"/>
          <w:szCs w:val="21"/>
        </w:rPr>
        <w:t xml:space="preserve"> </w:t>
      </w:r>
      <w:r>
        <w:rPr>
          <w:rFonts w:ascii="Calibri" w:cs="Calibri" w:eastAsia="Calibri" w:hAnsi="Calibri"/>
          <w:b/>
          <w:bCs/>
          <w:color w:val="1F3A5F"/>
          <w:sz w:val="21"/>
          <w:szCs w:val="21"/>
        </w:rPr>
        <w:t xml:space="preserve">/about</w:t>
      </w:r>
      <w:r>
        <w:rPr>
          <w:rFonts w:ascii="Calibri" w:cs="Calibri" w:eastAsia="Calibri" w:hAnsi="Calibri"/>
          <w:color w:val="1A1A1A"/>
          <w:sz w:val="21"/>
          <w:szCs w:val="21"/>
        </w:rPr>
        <w:t xml:space="preserve">, </w:t>
      </w:r>
      <w:r>
        <w:rPr>
          <w:rFonts w:ascii="Calibri" w:cs="Calibri" w:eastAsia="Calibri" w:hAnsi="Calibri"/>
          <w:b/>
          <w:bCs/>
          <w:color w:val="1F3A5F"/>
          <w:sz w:val="21"/>
          <w:szCs w:val="21"/>
        </w:rPr>
        <w:t xml:space="preserve">/about-us</w:t>
      </w:r>
      <w:r>
        <w:rPr>
          <w:rFonts w:ascii="Calibri" w:cs="Calibri" w:eastAsia="Calibri" w:hAnsi="Calibri"/>
          <w:color w:val="1A1A1A"/>
          <w:sz w:val="21"/>
          <w:szCs w:val="21"/>
        </w:rPr>
        <w:t xml:space="preserve"> and </w:t>
      </w:r>
      <w:r>
        <w:rPr>
          <w:rFonts w:ascii="Calibri" w:cs="Calibri" w:eastAsia="Calibri" w:hAnsi="Calibri"/>
          <w:b/>
          <w:bCs/>
          <w:color w:val="1F3A5F"/>
          <w:sz w:val="21"/>
          <w:szCs w:val="21"/>
        </w:rPr>
        <w:t xml:space="preserve">/team</w:t>
      </w:r>
      <w:r>
        <w:rPr>
          <w:rFonts w:ascii="Calibri" w:cs="Calibri" w:eastAsia="Calibri" w:hAnsi="Calibri"/>
          <w:color w:val="1A1A1A"/>
          <w:sz w:val="21"/>
          <w:szCs w:val="21"/>
        </w:rPr>
        <w:t xml:space="preserve"> all return 404 [observed]. Every executive above was identified from third parties.</w:t>
      </w:r>
    </w:p>
    <w:p>
      <w:pPr>
        <w:pStyle w:val="ListParagraph"/>
        <w:numPr>
          <w:ilvl w:val="0"/>
          <w:numId w:val="3"/>
        </w:numPr>
        <w:spacing w:after="100" w:line="276"/>
      </w:pPr>
      <w:r>
        <w:rPr>
          <w:rFonts w:ascii="Calibri" w:cs="Calibri" w:eastAsia="Calibri" w:hAnsi="Calibri"/>
          <w:b/>
          <w:bCs/>
          <w:color w:val="1A1A1A"/>
          <w:sz w:val="21"/>
          <w:szCs w:val="21"/>
        </w:rPr>
        <w:t xml:space="preserve">Engineering sits in Belgrade; the customers are in California.</w:t>
      </w:r>
      <w:r>
        <w:rPr>
          <w:rFonts w:ascii="Calibri" w:cs="Calibri" w:eastAsia="Calibri" w:hAnsi="Calibri"/>
          <w:color w:val="1A1A1A"/>
          <w:sz w:val="21"/>
          <w:szCs w:val="21"/>
        </w:rPr>
        <w:t xml:space="preserve"> All three roles advertised on the company's own careers page are in Belgrade, Serbia; a Los Angeles sales director appears on LinkedIn but not on the company's own page [observed]. A Serbian operating entity, Cosmic Buildings D.O.O., has been registered since 2023-02-17 [filing — Serbian business register].</w:t>
      </w:r>
    </w:p>
    <w:p>
      <w:pPr>
        <w:pStyle w:val="ListParagraph"/>
        <w:numPr>
          <w:ilvl w:val="0"/>
          <w:numId w:val="3"/>
        </w:numPr>
        <w:spacing w:after="100" w:line="276"/>
      </w:pPr>
      <w:r>
        <w:rPr>
          <w:rFonts w:ascii="Calibri" w:cs="Calibri" w:eastAsia="Calibri" w:hAnsi="Calibri"/>
          <w:b/>
          <w:bCs/>
          <w:color w:val="1A1A1A"/>
          <w:sz w:val="21"/>
          <w:szCs w:val="21"/>
        </w:rPr>
        <w:t xml:space="preserve">Headcount cannot be pinned, and the sources disagree by 5x.</w:t>
      </w:r>
      <w:r>
        <w:rPr>
          <w:rFonts w:ascii="Calibri" w:cs="Calibri" w:eastAsia="Calibri" w:hAnsi="Calibri"/>
          <w:color w:val="1A1A1A"/>
          <w:sz w:val="21"/>
          <w:szCs w:val="21"/>
        </w:rPr>
        <w:t xml:space="preserve"> LinkedIn's own count is 30 profiles naming Cosmic as current employer, while the band the company sets on that same page reads "2-10" [observed, 2026-09-16]. The Serbian registry records 6 [filing]. The founder said "a five-member, full-time" team in Nov 2022 [company-stated].</w:t>
      </w:r>
    </w:p>
    <w:p>
      <w:pPr>
        <w:keepNext/>
        <w:keepLines/>
        <w:spacing w:after="140" w:before="340"/>
      </w:pPr>
      <w:r>
        <w:rPr>
          <w:rFonts w:ascii="Cambria" w:cs="Cambria" w:eastAsia="Cambria" w:hAnsi="Cambria"/>
          <w:b/>
          <w:bCs/>
          <w:color w:val="1F3A5F"/>
          <w:sz w:val="27"/>
          <w:szCs w:val="27"/>
        </w:rPr>
        <w:t xml:space="preserve">3. The idea</w:t>
      </w:r>
    </w:p>
    <w:p>
      <w:pPr>
        <w:spacing w:after="140" w:line="276"/>
      </w:pPr>
      <w:r>
        <w:rPr>
          <w:rFonts w:ascii="Calibri" w:cs="Calibri" w:eastAsia="Calibri" w:hAnsi="Calibri"/>
          <w:b/>
          <w:bCs/>
          <w:color w:val="1A1A1A"/>
          <w:sz w:val="21"/>
          <w:szCs w:val="21"/>
        </w:rPr>
        <w:t xml:space="preserve">What it does</w:t>
      </w:r>
      <w:r>
        <w:rPr>
          <w:rFonts w:ascii="Calibri" w:cs="Calibri" w:eastAsia="Calibri" w:hAnsi="Calibri"/>
          <w:color w:val="1A1A1A"/>
          <w:sz w:val="21"/>
          <w:szCs w:val="21"/>
        </w:rPr>
        <w:t xml:space="preserve"> — A trailer-mounted cell holding ABB IRB 6710 robot arms is delivered to the building lot [press]. On site, it cuts and assembles timber studs into wall, floor and roof panels and applies plywood sheathing; a human crew then stands the panels up and finishes the house conventionally — cabinetry, appliances, solar [press, company-stated]. The house is an ordinary light-timber-framed building. What moves is the location of the framing shop: from a distant factory, or from the hands of a framing crew, to a robot parked on the customer's own lot.</w:t>
      </w:r>
    </w:p>
    <w:p>
      <w:pPr>
        <w:spacing w:after="140" w:line="276"/>
      </w:pPr>
      <w:r>
        <w:rPr>
          <w:rFonts w:ascii="Calibri" w:cs="Calibri" w:eastAsia="Calibri" w:hAnsi="Calibri"/>
          <w:b/>
          <w:bCs/>
          <w:color w:val="1A1A1A"/>
          <w:sz w:val="21"/>
          <w:szCs w:val="21"/>
        </w:rPr>
        <w:t xml:space="preserve">Why it might work</w:t>
      </w:r>
      <w:r>
        <w:rPr>
          <w:rFonts w:ascii="Calibri" w:cs="Calibri" w:eastAsia="Calibri" w:hAnsi="Calibri"/>
          <w:color w:val="1A1A1A"/>
          <w:sz w:val="21"/>
          <w:szCs w:val="21"/>
        </w:rPr>
        <w:t xml:space="preserve"> — Every previous attempt to industrialise US homebuilding put the factory in one place and shipped the product out: Katerra, Veev, Mighty Buildings. That model dies on two costs — the fixed cost of a factory that must stay full, and the cost and size limit of trucking finished volumes down a road. Bringing a small cell to the site removes both at once: no plant to keep utilised, no oversized load, and the building can be any shape the site demands rather than any shape a truck allows. It is a genuinely different answer to the failure that killed the others, and it is the strongest argument in the company's favour.</w:t>
      </w:r>
    </w:p>
    <w:p>
      <w:pPr>
        <w:spacing w:after="140" w:line="276"/>
      </w:pPr>
      <w:r>
        <w:rPr>
          <w:rFonts w:ascii="Calibri" w:cs="Calibri" w:eastAsia="Calibri" w:hAnsi="Calibri"/>
          <w:color w:val="1A1A1A"/>
          <w:sz w:val="21"/>
          <w:szCs w:val="21"/>
        </w:rPr>
        <w:t xml:space="preserve">There is a second advantage the company does not advertise and may not have fully noticed. Factory-built housing sold in California must carry an HCD insignia and prior plan approval before it ships [filing — Health and Safety Code §19980]. Cosmic fabricates its panels on the customer's lot, which plausibly places it outside that regime altogether. This is not a small matter: Boxabl, the largest volumetric manufacturer in the sector, names delays in obtaining statewide modular approvals as the cause of the going-concern doubt in its own 10-K [filing]. Building on site may avoid the regulatory bottleneck that is currently throttling the competition.</w:t>
      </w:r>
    </w:p>
    <w:p>
      <w:pPr>
        <w:keepNext/>
        <w:spacing w:after="80" w:line="276"/>
      </w:pPr>
      <w:r>
        <w:rPr>
          <w:rFonts w:ascii="Calibri" w:cs="Calibri" w:eastAsia="Calibri" w:hAnsi="Calibri"/>
          <w:b/>
          <w:bCs/>
          <w:color w:val="1A1A1A"/>
          <w:sz w:val="21"/>
          <w:szCs w:val="21"/>
        </w:rPr>
        <w:t xml:space="preserve">What has to be true</w:t>
      </w:r>
    </w:p>
    <w:p>
      <w:pPr>
        <w:pStyle w:val="ListParagraph"/>
        <w:numPr>
          <w:ilvl w:val="0"/>
          <w:numId w:val="4"/>
        </w:numPr>
        <w:spacing w:after="100" w:line="276"/>
      </w:pPr>
      <w:r>
        <w:rPr>
          <w:rFonts w:ascii="Calibri" w:cs="Calibri" w:eastAsia="Calibri" w:hAnsi="Calibri"/>
          <w:color w:val="1A1A1A"/>
          <w:sz w:val="21"/>
          <w:szCs w:val="21"/>
        </w:rPr>
        <w:t xml:space="preserve">The robot cell has to be materially cheaper than the framing crew it replaces, including the cost of moving, commissioning and supervising it on every lot — framing is roughly a tenth of a house's cost, so the saving is bounded even if the claim is fully true.</w:t>
      </w:r>
    </w:p>
    <w:p>
      <w:pPr>
        <w:pStyle w:val="ListParagraph"/>
        <w:numPr>
          <w:ilvl w:val="0"/>
          <w:numId w:val="4"/>
        </w:numPr>
        <w:spacing w:after="100" w:line="276"/>
      </w:pPr>
      <w:r>
        <w:rPr>
          <w:rFonts w:ascii="Calibri" w:cs="Calibri" w:eastAsia="Calibri" w:hAnsi="Calibri"/>
          <w:color w:val="1A1A1A"/>
          <w:sz w:val="21"/>
          <w:szCs w:val="21"/>
        </w:rPr>
        <w:t xml:space="preserve">Utilisation has to be high. A cell that frames a house in ten days and then waits for the next permit is idle capital; the claimed 100 homes a year per microfactory requires a permit pipeline arriving on a cadence no rebuild market has yet demonstrated [company-stated].</w:t>
      </w:r>
    </w:p>
    <w:p>
      <w:pPr>
        <w:pStyle w:val="ListParagraph"/>
        <w:numPr>
          <w:ilvl w:val="0"/>
          <w:numId w:val="4"/>
        </w:numPr>
        <w:spacing w:after="100" w:line="276"/>
      </w:pPr>
      <w:r>
        <w:rPr>
          <w:rFonts w:ascii="Calibri" w:cs="Calibri" w:eastAsia="Calibri" w:hAnsi="Calibri"/>
          <w:color w:val="1A1A1A"/>
          <w:sz w:val="21"/>
          <w:szCs w:val="21"/>
        </w:rPr>
        <w:t xml:space="preserve">The company has to carry the rest of the house — permits, foundation, trades, finishes — at a general contractor's margin, in Los Angeles, at a fixed price [company-stated].</w:t>
      </w:r>
    </w:p>
    <w:p>
      <w:pPr>
        <w:pStyle w:val="ListParagraph"/>
        <w:numPr>
          <w:ilvl w:val="0"/>
          <w:numId w:val="4"/>
        </w:numPr>
        <w:spacing w:after="100" w:line="276"/>
      </w:pPr>
      <w:r>
        <w:rPr>
          <w:rFonts w:ascii="Calibri" w:cs="Calibri" w:eastAsia="Calibri" w:hAnsi="Calibri"/>
          <w:color w:val="1A1A1A"/>
          <w:sz w:val="21"/>
          <w:szCs w:val="21"/>
        </w:rPr>
        <w:t xml:space="preserve">The fire-rebuild demand has to convert from free concept designs into signed, financed contracts.</w:t>
      </w:r>
    </w:p>
    <w:p>
      <w:pPr>
        <w:keepNext/>
        <w:spacing w:after="80" w:line="276"/>
      </w:pPr>
      <w:r>
        <w:rPr>
          <w:rFonts w:ascii="Calibri" w:cs="Calibri" w:eastAsia="Calibri" w:hAnsi="Calibri"/>
          <w:b/>
          <w:bCs/>
          <w:color w:val="1A1A1A"/>
          <w:sz w:val="21"/>
          <w:szCs w:val="21"/>
        </w:rPr>
        <w:t xml:space="preserve">Evidence it works</w:t>
      </w:r>
    </w:p>
    <w:p>
      <w:pPr>
        <w:pStyle w:val="ListParagraph"/>
        <w:numPr>
          <w:ilvl w:val="0"/>
          <w:numId w:val="3"/>
        </w:numPr>
        <w:spacing w:after="100" w:line="276"/>
      </w:pPr>
      <w:r>
        <w:rPr>
          <w:rFonts w:ascii="Calibri" w:cs="Calibri" w:eastAsia="Calibri" w:hAnsi="Calibri"/>
          <w:b/>
          <w:bCs/>
          <w:color w:val="1A1A1A"/>
          <w:sz w:val="21"/>
          <w:szCs w:val="21"/>
        </w:rPr>
        <w:t xml:space="preserve">Two ADUs completed</w:t>
      </w:r>
      <w:r>
        <w:rPr>
          <w:rFonts w:ascii="Calibri" w:cs="Calibri" w:eastAsia="Calibri" w:hAnsi="Calibri"/>
          <w:color w:val="1A1A1A"/>
          <w:sz w:val="21"/>
          <w:szCs w:val="21"/>
        </w:rPr>
        <w:t xml:space="preserve">, one of which serves as the company's Palisades base [press — Homes.com, 2025-10-29, reporter on site with own photography]. This is the only independently witnessed completion in the record.</w:t>
      </w:r>
    </w:p>
    <w:p>
      <w:pPr>
        <w:pStyle w:val="ListParagraph"/>
        <w:numPr>
          <w:ilvl w:val="0"/>
          <w:numId w:val="3"/>
        </w:numPr>
        <w:spacing w:after="100" w:line="276"/>
      </w:pPr>
      <w:r>
        <w:rPr>
          <w:rFonts w:ascii="Calibri" w:cs="Calibri" w:eastAsia="Calibri" w:hAnsi="Calibri"/>
          <w:b/>
          <w:bCs/>
          <w:color w:val="1A1A1A"/>
          <w:sz w:val="21"/>
          <w:szCs w:val="21"/>
        </w:rPr>
        <w:t xml:space="preserve">One single-family home under construction</w:t>
      </w:r>
      <w:r>
        <w:rPr>
          <w:rFonts w:ascii="Calibri" w:cs="Calibri" w:eastAsia="Calibri" w:hAnsi="Calibri"/>
          <w:color w:val="1A1A1A"/>
          <w:sz w:val="21"/>
          <w:szCs w:val="21"/>
        </w:rPr>
        <w:t xml:space="preserve"> in Santa Rosa, described as about one third built [press — CBS San Francisco, 2026-01-07]. It is described there as the first single-family home built with the system.</w:t>
      </w:r>
    </w:p>
    <w:p>
      <w:pPr>
        <w:pStyle w:val="ListParagraph"/>
        <w:numPr>
          <w:ilvl w:val="0"/>
          <w:numId w:val="3"/>
        </w:numPr>
        <w:spacing w:after="100" w:line="276"/>
      </w:pPr>
      <w:r>
        <w:rPr>
          <w:rFonts w:ascii="Calibri" w:cs="Calibri" w:eastAsia="Calibri" w:hAnsi="Calibri"/>
          <w:b/>
          <w:bCs/>
          <w:color w:val="1A1A1A"/>
          <w:sz w:val="21"/>
          <w:szCs w:val="21"/>
        </w:rPr>
        <w:t xml:space="preserve">A working robot arm was observed on a Palisades lot</w:t>
      </w:r>
      <w:r>
        <w:rPr>
          <w:rFonts w:ascii="Calibri" w:cs="Calibri" w:eastAsia="Calibri" w:hAnsi="Calibri"/>
          <w:color w:val="1A1A1A"/>
          <w:sz w:val="21"/>
          <w:szCs w:val="21"/>
        </w:rPr>
        <w:t xml:space="preserve"> by a visiting journalist [press — Metropolis, 2026-02-27].</w:t>
      </w:r>
    </w:p>
    <w:p>
      <w:pPr>
        <w:pStyle w:val="ListParagraph"/>
        <w:numPr>
          <w:ilvl w:val="0"/>
          <w:numId w:val="3"/>
        </w:numPr>
        <w:spacing w:after="100" w:line="276"/>
      </w:pPr>
      <w:r>
        <w:rPr>
          <w:rFonts w:ascii="Calibri" w:cs="Calibri" w:eastAsia="Calibri" w:hAnsi="Calibri"/>
          <w:b/>
          <w:bCs/>
          <w:color w:val="1A1A1A"/>
          <w:sz w:val="21"/>
          <w:szCs w:val="21"/>
        </w:rPr>
        <w:t xml:space="preserve">No completed, occupied single-family home appears anywhere in the record</w:t>
      </w:r>
      <w:r>
        <w:rPr>
          <w:rFonts w:ascii="Calibri" w:cs="Calibri" w:eastAsia="Calibri" w:hAnsi="Calibri"/>
          <w:color w:val="1A1A1A"/>
          <w:sz w:val="21"/>
          <w:szCs w:val="21"/>
        </w:rPr>
        <w:t xml:space="preserve">, twenty months after the January 2025 fires [inference from the full press set]. In August 2025 the first two were "expected to be completed by the end of the year" [press — ABC7].</w:t>
      </w:r>
    </w:p>
    <w:p>
      <w:pPr>
        <w:pStyle w:val="ListParagraph"/>
        <w:numPr>
          <w:ilvl w:val="0"/>
          <w:numId w:val="3"/>
        </w:numPr>
        <w:spacing w:after="100" w:line="276"/>
      </w:pPr>
      <w:r>
        <w:rPr>
          <w:rFonts w:ascii="Calibri" w:cs="Calibri" w:eastAsia="Calibri" w:hAnsi="Calibri"/>
          <w:b/>
          <w:bCs/>
          <w:color w:val="1A1A1A"/>
          <w:sz w:val="21"/>
          <w:szCs w:val="21"/>
        </w:rPr>
        <w:t xml:space="preserve">No patent, granted or published, is findable</w:t>
      </w:r>
      <w:r>
        <w:rPr>
          <w:rFonts w:ascii="Calibri" w:cs="Calibri" w:eastAsia="Calibri" w:hAnsi="Calibri"/>
          <w:color w:val="1A1A1A"/>
          <w:sz w:val="21"/>
          <w:szCs w:val="21"/>
        </w:rPr>
        <w:t xml:space="preserve"> under the company name or the founder's name; anything filed inside the last eighteen months would not yet have published [patent].</w:t>
      </w:r>
    </w:p>
    <w:p>
      <w:pPr>
        <w:keepNext/>
        <w:keepLines/>
        <w:spacing w:after="140" w:before="340"/>
      </w:pPr>
      <w:r>
        <w:rPr>
          <w:rFonts w:ascii="Cambria" w:cs="Cambria" w:eastAsia="Cambria" w:hAnsi="Cambria"/>
          <w:b/>
          <w:bCs/>
          <w:color w:val="1F3A5F"/>
          <w:sz w:val="27"/>
          <w:szCs w:val="27"/>
        </w:rPr>
        <w:t xml:space="preserve">4. Market</w:t>
      </w:r>
    </w:p>
    <w:p>
      <w:pPr>
        <w:keepNext/>
        <w:spacing w:after="80" w:line="276"/>
      </w:pPr>
      <w:r>
        <w:rPr>
          <w:rFonts w:ascii="Calibri" w:cs="Calibri" w:eastAsia="Calibri" w:hAnsi="Calibri"/>
          <w:b/>
          <w:bCs/>
          <w:color w:val="1A1A1A"/>
          <w:sz w:val="21"/>
          <w:szCs w:val="21"/>
        </w:rPr>
        <w:t xml:space="preserve">Bottoms-up sizing</w:t>
      </w:r>
    </w:p>
    <w:p>
      <w:pPr>
        <w:spacing w:after="140" w:line="276"/>
      </w:pPr>
      <w:r>
        <w:rPr>
          <w:rFonts w:ascii="Calibri" w:cs="Calibri" w:eastAsia="Calibri" w:hAnsi="Calibri"/>
          <w:color w:val="1A1A1A"/>
          <w:sz w:val="21"/>
          <w:szCs w:val="21"/>
        </w:rPr>
        <w:t xml:space="preserve">Cosmic sells into two markets that look adjacent and price completely differently. Taking the ADU market first, because it is the one with hard public data:</w:t>
      </w:r>
    </w:p>
    <w:p>
      <w:pPr>
        <w:keepNext/>
        <w:spacing w:after="90" w:before="200"/>
      </w:pPr>
      <w:r>
        <w:rPr>
          <w:rFonts w:ascii="Calibri" w:cs="Calibri" w:eastAsia="Calibri" w:hAnsi="Calibri"/>
          <w:b/>
          <w:bCs/>
          <w:color w:val="1F3A5F"/>
          <w:sz w:val="19"/>
          <w:szCs w:val="19"/>
        </w:rPr>
        <w:t xml:space="preserve">Exhibit 4</w:t>
      </w:r>
      <w:r>
        <w:rPr>
          <w:rFonts w:ascii="Calibri" w:cs="Calibri" w:eastAsia="Calibri" w:hAnsi="Calibri"/>
          <w:b/>
          <w:bCs/>
          <w:color w:val="1A1A1A"/>
          <w:sz w:val="19"/>
          <w:szCs w:val="19"/>
        </w:rPr>
        <w:t xml:space="preserve">  —  Bottoms-up sizing</w:t>
      </w:r>
    </w:p>
    <w:tbl>
      <w:tblPr>
        <w:tblW w:type="dxa" w:w="9360"/>
        <w:tblBorders>
          <w:top w:val="nil"/>
          <w:left w:val="nil"/>
          <w:bottom w:val="single" w:color="1F3A5F" w:sz="8"/>
          <w:right w:val="nil"/>
          <w:insideH w:val="nil"/>
          <w:insideV w:val="nil"/>
        </w:tblBorders>
      </w:tblPr>
      <w:tblGrid>
        <w:gridCol w:w="2742"/>
        <w:gridCol w:w="1674"/>
        <w:gridCol w:w="3494"/>
        <w:gridCol w:w="1450"/>
      </w:tblGrid>
      <w:tr>
        <w:trPr>
          <w:cantSplit/>
          <w:tblHeader/>
        </w:trPr>
        <w:tc>
          <w:tcPr>
            <w:tcW w:type="dxa" w:w="2742"/>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Factor</w:t>
            </w:r>
          </w:p>
        </w:tc>
        <w:tc>
          <w:tcPr>
            <w:tcW w:type="dxa" w:w="1674"/>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Value</w:t>
            </w:r>
          </w:p>
        </w:tc>
        <w:tc>
          <w:tcPr>
            <w:tcW w:type="dxa" w:w="3494"/>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Source</w:t>
            </w:r>
          </w:p>
        </w:tc>
        <w:tc>
          <w:tcPr>
            <w:tcW w:type="dxa" w:w="145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Tier</w:t>
            </w:r>
          </w:p>
        </w:tc>
      </w:tr>
      <w:tr>
        <w:trPr>
          <w:cantSplit/>
        </w:trPr>
        <w:tc>
          <w:tcPr>
            <w:tcW w:type="dxa" w:w="2742"/>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ADUs permitted statewide, 2025</w:t>
            </w:r>
          </w:p>
        </w:tc>
        <w:tc>
          <w:tcPr>
            <w:tcW w:type="dxa" w:w="167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32,118 units</w:t>
            </w:r>
          </w:p>
        </w:tc>
        <w:tc>
          <w:tcPr>
            <w:tcW w:type="dxa" w:w="349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California HCD Annual Progress Report parcel microdata, aggregated by building-permit issue date</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observed</w:t>
            </w:r>
          </w:p>
        </w:tc>
      </w:tr>
      <w:tr>
        <w:trPr>
          <w:cantSplit/>
        </w:trPr>
        <w:tc>
          <w:tcPr>
            <w:tcW w:type="dxa" w:w="2742"/>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ADUs permitted, City of Los Angeles, 2025</w:t>
            </w:r>
          </w:p>
        </w:tc>
        <w:tc>
          <w:tcPr>
            <w:tcW w:type="dxa" w:w="167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7,439 units</w:t>
            </w:r>
          </w:p>
        </w:tc>
        <w:tc>
          <w:tcPr>
            <w:tcW w:type="dxa" w:w="349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Same dataset</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observed</w:t>
            </w:r>
          </w:p>
        </w:tc>
      </w:tr>
      <w:tr>
        <w:trPr>
          <w:cantSplit/>
        </w:trPr>
        <w:tc>
          <w:tcPr>
            <w:tcW w:type="dxa" w:w="2742"/>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Share of permitted ADUs that reach a certificate of occupancy</w:t>
            </w:r>
          </w:p>
        </w:tc>
        <w:tc>
          <w:tcPr>
            <w:tcW w:type="dxa" w:w="167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~60–63% for mature permit cohorts</w:t>
            </w:r>
          </w:p>
        </w:tc>
        <w:tc>
          <w:tcPr>
            <w:tcW w:type="dxa" w:w="349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Same dataset, by permit-year cohort</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inferred</w:t>
            </w:r>
          </w:p>
        </w:tc>
      </w:tr>
      <w:tr>
        <w:trPr>
          <w:cantSplit/>
        </w:trPr>
        <w:tc>
          <w:tcPr>
            <w:tcW w:type="dxa" w:w="2742"/>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Median ADU cost, Los Angeles County</w:t>
            </w:r>
          </w:p>
        </w:tc>
        <w:tc>
          <w:tcPr>
            <w:tcW w:type="dxa" w:w="167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$100,000 total, $197 per sq ft</w:t>
            </w:r>
          </w:p>
        </w:tc>
        <w:tc>
          <w:tcPr>
            <w:tcW w:type="dxa" w:w="349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UC Berkeley CCI / Terner Center statewide owner survey, April 2021, n≈700</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observed</w:t>
            </w:r>
          </w:p>
        </w:tc>
      </w:tr>
      <w:tr>
        <w:trPr>
          <w:cantSplit/>
        </w:trPr>
        <w:tc>
          <w:tcPr>
            <w:tcW w:type="dxa" w:w="2742"/>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Same, escalated for construction cost inflation to 2026</w:t>
            </w:r>
          </w:p>
        </w:tc>
        <w:tc>
          <w:tcPr>
            <w:tcW w:type="dxa" w:w="167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~$284 per sq ft</w:t>
            </w:r>
          </w:p>
        </w:tc>
        <w:tc>
          <w:tcPr>
            <w:tcW w:type="dxa" w:w="349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California Construction Cost Index +44% Jan 2021 to Dec 2025, applied to the above</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inferred</w:t>
            </w:r>
          </w:p>
        </w:tc>
      </w:tr>
      <w:tr>
        <w:trPr>
          <w:cantSplit/>
        </w:trPr>
        <w:tc>
          <w:tcPr>
            <w:tcW w:type="dxa" w:w="2742"/>
            <w:tcBorders>
              <w:top w:val="nil"/>
              <w:left w:val="nil"/>
              <w:bottom w:val="single" w:color="D9D9D9" w:sz="4"/>
              <w:right w:val="nil"/>
            </w:tcBorders>
            <w:tcMar>
              <w:top w:type="dxa" w:w="70"/>
              <w:left w:type="dxa" w:w="100"/>
              <w:bottom w:type="dxa" w:w="70"/>
              <w:right w:type="dxa" w:w="100"/>
            </w:tcMar>
          </w:tcPr>
          <w:p>
            <w:pPr>
              <w:keepNext/>
              <w:jc w:val="left"/>
            </w:pPr>
            <w:r>
              <w:rPr>
                <w:rFonts w:ascii="Calibri" w:cs="Calibri" w:eastAsia="Calibri" w:hAnsi="Calibri"/>
                <w:color w:val="1A1A1A"/>
                <w:sz w:val="19"/>
                <w:szCs w:val="19"/>
              </w:rPr>
              <w:t xml:space="preserve">Cosmic's own smallest unit</w:t>
            </w:r>
          </w:p>
        </w:tc>
        <w:tc>
          <w:tcPr>
            <w:tcW w:type="dxa" w:w="1674"/>
            <w:tcBorders>
              <w:top w:val="nil"/>
              <w:left w:val="nil"/>
              <w:bottom w:val="single" w:color="D9D9D9" w:sz="4"/>
              <w:right w:val="nil"/>
            </w:tcBorders>
            <w:tcMar>
              <w:top w:type="dxa" w:w="70"/>
              <w:left w:type="dxa" w:w="100"/>
              <w:bottom w:type="dxa" w:w="70"/>
              <w:right w:type="dxa" w:w="100"/>
            </w:tcMar>
          </w:tcPr>
          <w:p>
            <w:pPr>
              <w:keepNext/>
              <w:jc w:val="left"/>
            </w:pPr>
            <w:r>
              <w:rPr>
                <w:rFonts w:ascii="Calibri" w:cs="Calibri" w:eastAsia="Calibri" w:hAnsi="Calibri"/>
                <w:color w:val="1A1A1A"/>
                <w:sz w:val="19"/>
                <w:szCs w:val="19"/>
              </w:rPr>
              <w:t xml:space="preserve">$734 per sq ft</w:t>
            </w:r>
          </w:p>
        </w:tc>
        <w:tc>
          <w:tcPr>
            <w:tcW w:type="dxa" w:w="3494"/>
            <w:tcBorders>
              <w:top w:val="nil"/>
              <w:left w:val="nil"/>
              <w:bottom w:val="single" w:color="D9D9D9" w:sz="4"/>
              <w:right w:val="nil"/>
            </w:tcBorders>
            <w:tcMar>
              <w:top w:type="dxa" w:w="70"/>
              <w:left w:type="dxa" w:w="100"/>
              <w:bottom w:type="dxa" w:w="70"/>
              <w:right w:type="dxa" w:w="100"/>
            </w:tcMar>
          </w:tcPr>
          <w:p>
            <w:pPr>
              <w:keepNext/>
              <w:jc w:val="left"/>
            </w:pPr>
            <w:r>
              <w:rPr>
                <w:rFonts w:ascii="Calibri" w:cs="Calibri" w:eastAsia="Calibri" w:hAnsi="Calibri"/>
                <w:color w:val="1A1A1A"/>
                <w:sz w:val="19"/>
                <w:szCs w:val="19"/>
              </w:rPr>
              <w:t xml:space="preserve">$279,000 / 380 sq ft, company price list</w:t>
            </w:r>
          </w:p>
        </w:tc>
        <w:tc>
          <w:tcPr>
            <w:tcW w:type="dxa" w:w="1450"/>
            <w:tcBorders>
              <w:top w:val="nil"/>
              <w:left w:val="nil"/>
              <w:bottom w:val="single" w:color="D9D9D9" w:sz="4"/>
              <w:right w:val="nil"/>
            </w:tcBorders>
            <w:tcMar>
              <w:top w:type="dxa" w:w="70"/>
              <w:left w:type="dxa" w:w="100"/>
              <w:bottom w:type="dxa" w:w="70"/>
              <w:right w:type="dxa" w:w="100"/>
            </w:tcMar>
          </w:tcPr>
          <w:p>
            <w:pPr>
              <w:keepNext/>
              <w:jc w:val="left"/>
            </w:pPr>
            <w:r>
              <w:rPr>
                <w:rFonts w:ascii="Calibri" w:cs="Calibri" w:eastAsia="Calibri" w:hAnsi="Calibri"/>
                <w:color w:val="1A1A1A"/>
                <w:sz w:val="19"/>
                <w:szCs w:val="19"/>
              </w:rPr>
              <w:t xml:space="preserve">observed</w:t>
            </w:r>
          </w:p>
        </w:tc>
      </w:tr>
    </w:tbl>
    <w:p>
      <w:pPr>
        <w:spacing w:after="220" w:before="70"/>
      </w:pPr>
      <w:r>
        <w:rPr>
          <w:rFonts w:ascii="Calibri" w:cs="Calibri" w:eastAsia="Calibri" w:hAnsi="Calibri"/>
          <w:i/>
          <w:iCs/>
          <w:color w:val="5A5A5A"/>
          <w:sz w:val="16"/>
          <w:szCs w:val="16"/>
        </w:rPr>
        <w:t xml:space="preserve">Source: public records as cited. As of 16 September 2026.</w:t>
      </w:r>
    </w:p>
    <w:p>
      <w:pPr>
        <w:spacing w:after="140" w:line="276"/>
      </w:pPr>
      <w:r>
        <w:rPr>
          <w:rFonts w:ascii="Calibri" w:cs="Calibri" w:eastAsia="Calibri" w:hAnsi="Calibri"/>
          <w:b/>
          <w:bCs/>
          <w:color w:val="1A1A1A"/>
          <w:sz w:val="21"/>
          <w:szCs w:val="21"/>
        </w:rPr>
        <w:t xml:space="preserve">The ADU market is real, large and growing — and Cosmic is not priced into it.</w:t>
      </w:r>
      <w:r>
        <w:rPr>
          <w:rFonts w:ascii="Calibri" w:cs="Calibri" w:eastAsia="Calibri" w:hAnsi="Calibri"/>
          <w:color w:val="1A1A1A"/>
          <w:sz w:val="21"/>
          <w:szCs w:val="21"/>
        </w:rPr>
        <w:t xml:space="preserve"> A Los Angeles homeowner building an ADU today spends something in the region of $284 a square foot. Cosmic's studio prices at $734. That is not a premium, it is a different market: roughly two and a half times the median. The company's own materials do not claim to be the cheap option, and the arithmetic confirms they are not. Whatever Cosmic is selling, it is not the median ADU.</w:t>
      </w:r>
    </w:p>
    <w:p>
      <w:pPr>
        <w:spacing w:after="140" w:line="276"/>
      </w:pPr>
      <w:r>
        <w:rPr>
          <w:rFonts w:ascii="Calibri" w:cs="Calibri" w:eastAsia="Calibri" w:hAnsi="Calibri"/>
          <w:color w:val="1A1A1A"/>
          <w:sz w:val="21"/>
          <w:szCs w:val="21"/>
        </w:rPr>
        <w:t xml:space="preserve">Turning to the rebuild market, which is where the company has actually concentrated:</w:t>
      </w:r>
    </w:p>
    <w:p>
      <w:pPr>
        <w:keepNext/>
        <w:spacing w:after="90" w:before="200"/>
      </w:pPr>
      <w:r>
        <w:rPr>
          <w:rFonts w:ascii="Calibri" w:cs="Calibri" w:eastAsia="Calibri" w:hAnsi="Calibri"/>
          <w:b/>
          <w:bCs/>
          <w:color w:val="1F3A5F"/>
          <w:sz w:val="19"/>
          <w:szCs w:val="19"/>
        </w:rPr>
        <w:t xml:space="preserve">Exhibit 5</w:t>
      </w:r>
      <w:r>
        <w:rPr>
          <w:rFonts w:ascii="Calibri" w:cs="Calibri" w:eastAsia="Calibri" w:hAnsi="Calibri"/>
          <w:b/>
          <w:bCs/>
          <w:color w:val="1A1A1A"/>
          <w:sz w:val="19"/>
          <w:szCs w:val="19"/>
        </w:rPr>
        <w:t xml:space="preserve">  —  Market</w:t>
      </w:r>
    </w:p>
    <w:tbl>
      <w:tblPr>
        <w:tblW w:type="dxa" w:w="9360"/>
        <w:tblBorders>
          <w:top w:val="nil"/>
          <w:left w:val="nil"/>
          <w:bottom w:val="single" w:color="1F3A5F" w:sz="8"/>
          <w:right w:val="nil"/>
          <w:insideH w:val="nil"/>
          <w:insideV w:val="nil"/>
        </w:tblBorders>
      </w:tblPr>
      <w:tblGrid>
        <w:gridCol w:w="2499"/>
        <w:gridCol w:w="2253"/>
        <w:gridCol w:w="3158"/>
        <w:gridCol w:w="1450"/>
      </w:tblGrid>
      <w:tr>
        <w:trPr>
          <w:cantSplit/>
          <w:tblHeader/>
        </w:trPr>
        <w:tc>
          <w:tcPr>
            <w:tcW w:type="dxa" w:w="2499"/>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Factor</w:t>
            </w:r>
          </w:p>
        </w:tc>
        <w:tc>
          <w:tcPr>
            <w:tcW w:type="dxa" w:w="2253"/>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Value</w:t>
            </w:r>
          </w:p>
        </w:tc>
        <w:tc>
          <w:tcPr>
            <w:tcW w:type="dxa" w:w="3158"/>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Source</w:t>
            </w:r>
          </w:p>
        </w:tc>
        <w:tc>
          <w:tcPr>
            <w:tcW w:type="dxa" w:w="145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Tier</w:t>
            </w:r>
          </w:p>
        </w:tc>
      </w:tr>
      <w:tr>
        <w:trPr>
          <w:cantSplit/>
        </w:trPr>
        <w:tc>
          <w:tcPr>
            <w:tcW w:type="dxa" w:w="2499"/>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Structures destroyed, Palisades fire</w:t>
            </w:r>
          </w:p>
        </w:tc>
        <w:tc>
          <w:tcPr>
            <w:tcW w:type="dxa" w:w="2253"/>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6,845</w:t>
            </w:r>
          </w:p>
        </w:tc>
        <w:tc>
          <w:tcPr>
            <w:tcW w:type="dxa" w:w="3158"/>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CAL FIRE incident record</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observed</w:t>
            </w:r>
          </w:p>
        </w:tc>
      </w:tr>
      <w:tr>
        <w:trPr>
          <w:cantSplit/>
        </w:trPr>
        <w:tc>
          <w:tcPr>
            <w:tcW w:type="dxa" w:w="2499"/>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Structures destroyed, Eaton fire</w:t>
            </w:r>
          </w:p>
        </w:tc>
        <w:tc>
          <w:tcPr>
            <w:tcW w:type="dxa" w:w="2253"/>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9,419</w:t>
            </w:r>
          </w:p>
        </w:tc>
        <w:tc>
          <w:tcPr>
            <w:tcW w:type="dxa" w:w="3158"/>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CAL FIRE incident record</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observed</w:t>
            </w:r>
          </w:p>
        </w:tc>
      </w:tr>
      <w:tr>
        <w:trPr>
          <w:cantSplit/>
        </w:trPr>
        <w:tc>
          <w:tcPr>
            <w:tcW w:type="dxa" w:w="2499"/>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Rebuild permits issued, City of LA (Palisades)</w:t>
            </w:r>
          </w:p>
        </w:tc>
        <w:tc>
          <w:tcPr>
            <w:tcW w:type="dxa" w:w="2253"/>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4,580, covering 1,649 unique addresses</w:t>
            </w:r>
          </w:p>
        </w:tc>
        <w:tc>
          <w:tcPr>
            <w:tcW w:type="dxa" w:w="3158"/>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LADBS recovery dashboard, read 2026-09-16</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observed</w:t>
            </w:r>
          </w:p>
        </w:tc>
      </w:tr>
      <w:tr>
        <w:trPr>
          <w:cantSplit/>
        </w:trPr>
        <w:tc>
          <w:tcPr>
            <w:tcW w:type="dxa" w:w="2499"/>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b/>
                <w:bCs/>
                <w:color w:val="1A1A1A"/>
                <w:sz w:val="19"/>
                <w:szCs w:val="19"/>
              </w:rPr>
              <w:t xml:space="preserve">Certificates of occupancy, City of LA (Palisades)</w:t>
            </w:r>
          </w:p>
        </w:tc>
        <w:tc>
          <w:tcPr>
            <w:tcW w:type="dxa" w:w="2253"/>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b/>
                <w:bCs/>
                <w:color w:val="1A1A1A"/>
                <w:sz w:val="19"/>
                <w:szCs w:val="19"/>
              </w:rPr>
              <w:t xml:space="preserve">48, covering 46 unique addresses</w:t>
            </w:r>
          </w:p>
        </w:tc>
        <w:tc>
          <w:tcPr>
            <w:tcW w:type="dxa" w:w="3158"/>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Same dashboard</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observed</w:t>
            </w:r>
          </w:p>
        </w:tc>
      </w:tr>
      <w:tr>
        <w:trPr>
          <w:cantSplit/>
        </w:trPr>
        <w:tc>
          <w:tcPr>
            <w:tcW w:type="dxa" w:w="2499"/>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Completed new residential rebuilds, unincorporated LA County</w:t>
            </w:r>
          </w:p>
        </w:tc>
        <w:tc>
          <w:tcPr>
            <w:tcW w:type="dxa" w:w="2253"/>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192 (Eaton 190, Palisades 2)</w:t>
            </w:r>
          </w:p>
        </w:tc>
        <w:tc>
          <w:tcPr>
            <w:tcW w:type="dxa" w:w="3158"/>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LA County recovery dashboard, read 2026-09-16</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observed</w:t>
            </w:r>
          </w:p>
        </w:tc>
      </w:tr>
      <w:tr>
        <w:trPr>
          <w:cantSplit/>
        </w:trPr>
        <w:tc>
          <w:tcPr>
            <w:tcW w:type="dxa" w:w="2499"/>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Share of destroyed structures rebuilt, 20 months on</w:t>
            </w:r>
          </w:p>
        </w:tc>
        <w:tc>
          <w:tcPr>
            <w:tcW w:type="dxa" w:w="2253"/>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roughly 1.5%</w:t>
            </w:r>
          </w:p>
        </w:tc>
        <w:tc>
          <w:tcPr>
            <w:tcW w:type="dxa" w:w="3158"/>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Computed from the two figures above against 16,264 destroyed</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inferred</w:t>
            </w:r>
          </w:p>
        </w:tc>
      </w:tr>
      <w:tr>
        <w:trPr>
          <w:cantSplit/>
        </w:trPr>
        <w:tc>
          <w:tcPr>
            <w:tcW w:type="dxa" w:w="2499"/>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Permitting time inside the Coastal Zone, LA County</w:t>
            </w:r>
          </w:p>
        </w:tc>
        <w:tc>
          <w:tcPr>
            <w:tcW w:type="dxa" w:w="2253"/>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260 days median, against 147 outside it</w:t>
            </w:r>
          </w:p>
        </w:tc>
        <w:tc>
          <w:tcPr>
            <w:tcW w:type="dxa" w:w="3158"/>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Terner Center analysis of HCD APR data. Pacific Palisades is inside the Coastal Zone</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observed</w:t>
            </w:r>
          </w:p>
        </w:tc>
      </w:tr>
      <w:tr>
        <w:trPr>
          <w:cantSplit/>
        </w:trPr>
        <w:tc>
          <w:tcPr>
            <w:tcW w:type="dxa" w:w="2499"/>
            <w:tcBorders>
              <w:top w:val="nil"/>
              <w:left w:val="nil"/>
              <w:bottom w:val="single" w:color="D9D9D9" w:sz="4"/>
              <w:right w:val="nil"/>
            </w:tcBorders>
            <w:tcMar>
              <w:top w:type="dxa" w:w="70"/>
              <w:left w:type="dxa" w:w="100"/>
              <w:bottom w:type="dxa" w:w="70"/>
              <w:right w:type="dxa" w:w="100"/>
            </w:tcMar>
          </w:tcPr>
          <w:p>
            <w:pPr>
              <w:keepNext/>
              <w:jc w:val="left"/>
            </w:pPr>
            <w:r>
              <w:rPr>
                <w:rFonts w:ascii="Calibri" w:cs="Calibri" w:eastAsia="Calibri" w:hAnsi="Calibri"/>
                <w:color w:val="1A1A1A"/>
                <w:sz w:val="19"/>
                <w:szCs w:val="19"/>
              </w:rPr>
              <w:t xml:space="preserve">Lots sold rather than rebuilt, Palisades 90272, three months to Nov 2025</w:t>
            </w:r>
          </w:p>
        </w:tc>
        <w:tc>
          <w:tcPr>
            <w:tcW w:type="dxa" w:w="2253"/>
            <w:tcBorders>
              <w:top w:val="nil"/>
              <w:left w:val="nil"/>
              <w:bottom w:val="single" w:color="D9D9D9" w:sz="4"/>
              <w:right w:val="nil"/>
            </w:tcBorders>
            <w:tcMar>
              <w:top w:type="dxa" w:w="70"/>
              <w:left w:type="dxa" w:w="100"/>
              <w:bottom w:type="dxa" w:w="70"/>
              <w:right w:type="dxa" w:w="100"/>
            </w:tcMar>
          </w:tcPr>
          <w:p>
            <w:pPr>
              <w:keepNext/>
              <w:jc w:val="left"/>
            </w:pPr>
            <w:r>
              <w:rPr>
                <w:rFonts w:ascii="Calibri" w:cs="Calibri" w:eastAsia="Calibri" w:hAnsi="Calibri"/>
                <w:color w:val="1A1A1A"/>
                <w:sz w:val="19"/>
                <w:szCs w:val="19"/>
              </w:rPr>
              <w:t xml:space="preserve">107 sold against 0 a year earlier; investors bought ~40%</w:t>
            </w:r>
          </w:p>
        </w:tc>
        <w:tc>
          <w:tcPr>
            <w:tcW w:type="dxa" w:w="3158"/>
            <w:tcBorders>
              <w:top w:val="nil"/>
              <w:left w:val="nil"/>
              <w:bottom w:val="single" w:color="D9D9D9" w:sz="4"/>
              <w:right w:val="nil"/>
            </w:tcBorders>
            <w:tcMar>
              <w:top w:type="dxa" w:w="70"/>
              <w:left w:type="dxa" w:w="100"/>
              <w:bottom w:type="dxa" w:w="70"/>
              <w:right w:type="dxa" w:w="100"/>
            </w:tcMar>
          </w:tcPr>
          <w:p>
            <w:pPr>
              <w:keepNext/>
              <w:jc w:val="left"/>
            </w:pPr>
            <w:r>
              <w:rPr>
                <w:rFonts w:ascii="Calibri" w:cs="Calibri" w:eastAsia="Calibri" w:hAnsi="Calibri"/>
                <w:color w:val="1A1A1A"/>
                <w:sz w:val="19"/>
                <w:szCs w:val="19"/>
              </w:rPr>
              <w:t xml:space="preserve">Redfin research</w:t>
            </w:r>
          </w:p>
        </w:tc>
        <w:tc>
          <w:tcPr>
            <w:tcW w:type="dxa" w:w="1450"/>
            <w:tcBorders>
              <w:top w:val="nil"/>
              <w:left w:val="nil"/>
              <w:bottom w:val="single" w:color="D9D9D9" w:sz="4"/>
              <w:right w:val="nil"/>
            </w:tcBorders>
            <w:tcMar>
              <w:top w:type="dxa" w:w="70"/>
              <w:left w:type="dxa" w:w="100"/>
              <w:bottom w:type="dxa" w:w="70"/>
              <w:right w:type="dxa" w:w="100"/>
            </w:tcMar>
          </w:tcPr>
          <w:p>
            <w:pPr>
              <w:keepNext/>
              <w:jc w:val="left"/>
            </w:pPr>
            <w:r>
              <w:rPr>
                <w:rFonts w:ascii="Calibri" w:cs="Calibri" w:eastAsia="Calibri" w:hAnsi="Calibri"/>
                <w:color w:val="1A1A1A"/>
                <w:sz w:val="19"/>
                <w:szCs w:val="19"/>
              </w:rPr>
              <w:t xml:space="preserve">observed</w:t>
            </w:r>
          </w:p>
        </w:tc>
      </w:tr>
    </w:tbl>
    <w:p>
      <w:pPr>
        <w:spacing w:after="220" w:before="70"/>
      </w:pPr>
      <w:r>
        <w:rPr>
          <w:rFonts w:ascii="Calibri" w:cs="Calibri" w:eastAsia="Calibri" w:hAnsi="Calibri"/>
          <w:i/>
          <w:iCs/>
          <w:color w:val="5A5A5A"/>
          <w:sz w:val="16"/>
          <w:szCs w:val="16"/>
        </w:rPr>
        <w:t xml:space="preserve">Source: public records as cited. As of 16 September 2026.</w:t>
      </w:r>
    </w:p>
    <w:p>
      <w:pPr>
        <w:spacing w:after="140" w:line="276"/>
      </w:pPr>
      <w:r>
        <w:rPr>
          <w:rFonts w:ascii="Calibri" w:cs="Calibri" w:eastAsia="Calibri" w:hAnsi="Calibri"/>
          <w:b/>
          <w:bCs/>
          <w:color w:val="1A1A1A"/>
          <w:sz w:val="21"/>
          <w:szCs w:val="21"/>
        </w:rPr>
        <w:t xml:space="preserve">Company's stated market</w:t>
      </w:r>
      <w:r>
        <w:rPr>
          <w:rFonts w:ascii="Calibri" w:cs="Calibri" w:eastAsia="Calibri" w:hAnsi="Calibri"/>
          <w:color w:val="1A1A1A"/>
          <w:sz w:val="21"/>
          <w:szCs w:val="21"/>
        </w:rPr>
        <w:t xml:space="preserve"> — Cosmic has published an intent to build 100 homes by 2027 and 1,000 within three years, and a long-run vision of "2,000 factories, each building 100 homes per year" [company-stated]. Against 16,264 destroyed structures the near-term goal is arithmetically possible; against the market's realised pace it is not close. The whole market, every builder combined, has finished roughly 240 homes across both fire zones in twenty months.</w:t>
      </w:r>
    </w:p>
    <w:p>
      <w:pPr>
        <w:keepNext/>
        <w:spacing w:after="80" w:line="276"/>
      </w:pPr>
      <w:r>
        <w:rPr>
          <w:rFonts w:ascii="Calibri" w:cs="Calibri" w:eastAsia="Calibri" w:hAnsi="Calibri"/>
          <w:b/>
          <w:bCs/>
          <w:color w:val="1A1A1A"/>
          <w:sz w:val="21"/>
          <w:szCs w:val="21"/>
        </w:rPr>
        <w:t xml:space="preserve">Competitive set</w:t>
      </w:r>
    </w:p>
    <w:p>
      <w:pPr>
        <w:keepNext/>
        <w:spacing w:after="90" w:before="200"/>
      </w:pPr>
      <w:r>
        <w:rPr>
          <w:rFonts w:ascii="Calibri" w:cs="Calibri" w:eastAsia="Calibri" w:hAnsi="Calibri"/>
          <w:b/>
          <w:bCs/>
          <w:color w:val="1F3A5F"/>
          <w:sz w:val="19"/>
          <w:szCs w:val="19"/>
        </w:rPr>
        <w:t xml:space="preserve">Exhibit 6</w:t>
      </w:r>
      <w:r>
        <w:rPr>
          <w:rFonts w:ascii="Calibri" w:cs="Calibri" w:eastAsia="Calibri" w:hAnsi="Calibri"/>
          <w:b/>
          <w:bCs/>
          <w:color w:val="1A1A1A"/>
          <w:sz w:val="19"/>
          <w:szCs w:val="19"/>
        </w:rPr>
        <w:t xml:space="preserve">  —  Competitive set</w:t>
      </w:r>
    </w:p>
    <w:tbl>
      <w:tblPr>
        <w:tblW w:type="dxa" w:w="9360"/>
        <w:tblBorders>
          <w:top w:val="nil"/>
          <w:left w:val="nil"/>
          <w:bottom w:val="single" w:color="1F3A5F" w:sz="8"/>
          <w:right w:val="nil"/>
          <w:insideH w:val="nil"/>
          <w:insideV w:val="nil"/>
        </w:tblBorders>
      </w:tblPr>
      <w:tblGrid>
        <w:gridCol w:w="1450"/>
        <w:gridCol w:w="2433"/>
        <w:gridCol w:w="3894"/>
        <w:gridCol w:w="1583"/>
      </w:tblGrid>
      <w:tr>
        <w:trPr>
          <w:cantSplit/>
          <w:tblHeader/>
        </w:trPr>
        <w:tc>
          <w:tcPr>
            <w:tcW w:type="dxa" w:w="145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Competitor</w:t>
            </w:r>
          </w:p>
        </w:tc>
        <w:tc>
          <w:tcPr>
            <w:tcW w:type="dxa" w:w="2433"/>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Type</w:t>
            </w:r>
          </w:p>
        </w:tc>
        <w:tc>
          <w:tcPr>
            <w:tcW w:type="dxa" w:w="3894"/>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Position</w:t>
            </w:r>
          </w:p>
        </w:tc>
        <w:tc>
          <w:tcPr>
            <w:tcW w:type="dxa" w:w="1583"/>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Funding / scale</w:t>
            </w:r>
          </w:p>
        </w:tc>
      </w:tr>
      <w:tr>
        <w:trPr>
          <w:cantSplit/>
        </w:trPr>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Homebound</w:t>
            </w:r>
          </w:p>
        </w:tc>
        <w:tc>
          <w:tcPr>
            <w:tcW w:type="dxa" w:w="2433"/>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Site-built, tech-enabled, same fire zones</w:t>
            </w:r>
          </w:p>
        </w:tc>
        <w:tc>
          <w:tcPr>
            <w:tcW w:type="dxa" w:w="389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Publishes </w:t>
            </w:r>
            <w:r>
              <w:rPr>
                <w:rFonts w:ascii="Calibri" w:cs="Calibri" w:eastAsia="Calibri" w:hAnsi="Calibri"/>
                <w:b/>
                <w:bCs/>
                <w:color w:val="1A1A1A"/>
                <w:sz w:val="19"/>
                <w:szCs w:val="19"/>
              </w:rPr>
              <w:t xml:space="preserve">$391/sq ft in Pacific Palisades and $309/sq ft in Altadena</w:t>
            </w:r>
            <w:r>
              <w:rPr>
                <w:rFonts w:ascii="Calibri" w:cs="Calibri" w:eastAsia="Calibri" w:hAnsi="Calibri"/>
                <w:color w:val="1A1A1A"/>
                <w:sz w:val="19"/>
                <w:szCs w:val="19"/>
              </w:rPr>
              <w:t xml:space="preserve"> — below Cosmic's $550–700</w:t>
            </w:r>
          </w:p>
        </w:tc>
        <w:tc>
          <w:tcPr>
            <w:tcW w:type="dxa" w:w="1583"/>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~$400M raised since 2022</w:t>
            </w:r>
          </w:p>
        </w:tc>
      </w:tr>
      <w:tr>
        <w:trPr>
          <w:cantSplit/>
        </w:trPr>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Samara</w:t>
            </w:r>
          </w:p>
        </w:tc>
        <w:tc>
          <w:tcPr>
            <w:tcW w:type="dxa" w:w="2433"/>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Factory-built ADUs, California only</w:t>
            </w:r>
          </w:p>
        </w:tc>
        <w:tc>
          <w:tcPr>
            <w:tcW w:type="dxa" w:w="389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"Starting at $152k plus installation"; 250 ADUs built or in progress; &gt;$100M project value in 12 months</w:t>
            </w:r>
          </w:p>
        </w:tc>
        <w:tc>
          <w:tcPr>
            <w:tcW w:type="dxa" w:w="1583"/>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$75M; Series B Sept 2025</w:t>
            </w:r>
          </w:p>
        </w:tc>
      </w:tr>
      <w:tr>
        <w:trPr>
          <w:cantSplit/>
        </w:trPr>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Villa Homes</w:t>
            </w:r>
          </w:p>
        </w:tc>
        <w:tc>
          <w:tcPr>
            <w:tcW w:type="dxa" w:w="2433"/>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Factory-built ADUs</w:t>
            </w:r>
          </w:p>
        </w:tc>
        <w:tc>
          <w:tcPr>
            <w:tcW w:type="dxa" w:w="389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"Over 300 detached ADUs across 100+ California jurisdictions"; from $225,000 including permitting, site prep and hookups</w:t>
            </w:r>
          </w:p>
        </w:tc>
        <w:tc>
          <w:tcPr>
            <w:tcW w:type="dxa" w:w="1583"/>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~$80M</w:t>
            </w:r>
          </w:p>
        </w:tc>
      </w:tr>
      <w:tr>
        <w:trPr>
          <w:cantSplit/>
        </w:trPr>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Plant Prefab</w:t>
            </w:r>
          </w:p>
        </w:tc>
        <w:tc>
          <w:tcPr>
            <w:tcW w:type="dxa" w:w="2433"/>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Modular and panelised</w:t>
            </w:r>
          </w:p>
        </w:tc>
        <w:tc>
          <w:tcPr>
            <w:tcW w:type="dxa" w:w="389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87 rebuild units under contract as of Feb 2026; one Altadena rebuild delivered</w:t>
            </w:r>
          </w:p>
        </w:tc>
        <w:tc>
          <w:tcPr>
            <w:tcW w:type="dxa" w:w="1583"/>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~$64M disclosed</w:t>
            </w:r>
          </w:p>
        </w:tc>
      </w:tr>
      <w:tr>
        <w:trPr>
          <w:cantSplit/>
        </w:trPr>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Cover</w:t>
            </w:r>
          </w:p>
        </w:tc>
        <w:tc>
          <w:tcPr>
            <w:tcW w:type="dxa" w:w="2433"/>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Steel panelised, LA County only</w:t>
            </w:r>
          </w:p>
        </w:tc>
        <w:tc>
          <w:tcPr>
            <w:tcW w:type="dxa" w:w="389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"Just a few dozen homes"; no raise found since Oct 2021</w:t>
            </w:r>
          </w:p>
        </w:tc>
        <w:tc>
          <w:tcPr>
            <w:tcW w:type="dxa" w:w="1583"/>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~$74M</w:t>
            </w:r>
          </w:p>
        </w:tc>
      </w:tr>
      <w:tr>
        <w:trPr>
          <w:cantSplit/>
        </w:trPr>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Boxabl</w:t>
            </w:r>
          </w:p>
        </w:tc>
        <w:tc>
          <w:tcPr>
            <w:tcW w:type="dxa" w:w="2433"/>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Volumetric, Nevada</w:t>
            </w:r>
          </w:p>
        </w:tc>
        <w:tc>
          <w:tcPr>
            <w:tcW w:type="dxa" w:w="389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Nasdaq-listed 2026 with </w:t>
            </w:r>
            <w:r>
              <w:rPr>
                <w:rFonts w:ascii="Calibri" w:cs="Calibri" w:eastAsia="Calibri" w:hAnsi="Calibri"/>
                <w:b/>
                <w:bCs/>
                <w:color w:val="1A1A1A"/>
                <w:sz w:val="19"/>
                <w:szCs w:val="19"/>
              </w:rPr>
              <w:t xml:space="preserve">going-concern doubt</w:t>
            </w:r>
            <w:r>
              <w:rPr>
                <w:rFonts w:ascii="Calibri" w:cs="Calibri" w:eastAsia="Calibri" w:hAnsi="Calibri"/>
                <w:color w:val="1A1A1A"/>
                <w:sz w:val="19"/>
                <w:szCs w:val="19"/>
              </w:rPr>
              <w:t xml:space="preserve">; 795 manufactured, 312 delivered; 23 units delivered in 2025</w:t>
            </w:r>
          </w:p>
        </w:tc>
        <w:tc>
          <w:tcPr>
            <w:tcW w:type="dxa" w:w="1583"/>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$230M+</w:t>
            </w:r>
          </w:p>
        </w:tc>
      </w:tr>
      <w:tr>
        <w:trPr>
          <w:cantSplit/>
        </w:trPr>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b/>
                <w:bCs/>
                <w:color w:val="1A1A1A"/>
                <w:sz w:val="19"/>
                <w:szCs w:val="19"/>
              </w:rPr>
              <w:t xml:space="preserve">Katerra</w:t>
            </w:r>
          </w:p>
        </w:tc>
        <w:tc>
          <w:tcPr>
            <w:tcW w:type="dxa" w:w="2433"/>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Volumetric, at scale</w:t>
            </w:r>
          </w:p>
        </w:tc>
        <w:tc>
          <w:tcPr>
            <w:tcW w:type="dxa" w:w="389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b/>
                <w:bCs/>
                <w:color w:val="1A1A1A"/>
                <w:sz w:val="19"/>
                <w:szCs w:val="19"/>
              </w:rPr>
              <w:t xml:space="preserve">Chapter 11, liquidated 2021.</w:t>
            </w:r>
            <w:r>
              <w:rPr>
                <w:rFonts w:ascii="Calibri" w:cs="Calibri" w:eastAsia="Calibri" w:hAnsi="Calibri"/>
                <w:color w:val="1A1A1A"/>
                <w:sz w:val="19"/>
                <w:szCs w:val="19"/>
              </w:rPr>
              <w:t xml:space="preserve"> Tracy plant designed for 12,000 units/yr sold for $25M</w:t>
            </w:r>
          </w:p>
        </w:tc>
        <w:tc>
          <w:tcPr>
            <w:tcW w:type="dxa" w:w="1583"/>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b/>
                <w:bCs/>
                <w:color w:val="1A1A1A"/>
                <w:sz w:val="19"/>
                <w:szCs w:val="19"/>
              </w:rPr>
              <w:t xml:space="preserve">~$2.14B raised</w:t>
            </w:r>
          </w:p>
        </w:tc>
      </w:tr>
      <w:tr>
        <w:trPr>
          <w:cantSplit/>
        </w:trPr>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b/>
                <w:bCs/>
                <w:color w:val="1A1A1A"/>
                <w:sz w:val="19"/>
                <w:szCs w:val="19"/>
              </w:rPr>
              <w:t xml:space="preserve">Veev</w:t>
            </w:r>
          </w:p>
        </w:tc>
        <w:tc>
          <w:tcPr>
            <w:tcW w:type="dxa" w:w="2433"/>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Panelised</w:t>
            </w:r>
          </w:p>
        </w:tc>
        <w:tc>
          <w:tcPr>
            <w:tcW w:type="dxa" w:w="389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b/>
                <w:bCs/>
                <w:color w:val="1A1A1A"/>
                <w:sz w:val="19"/>
                <w:szCs w:val="19"/>
              </w:rPr>
              <w:t xml:space="preserve">Assignment for creditors, Nov 2023</w:t>
            </w:r>
            <w:r>
              <w:rPr>
                <w:rFonts w:ascii="Calibri" w:cs="Calibri" w:eastAsia="Calibri" w:hAnsi="Calibri"/>
                <w:color w:val="1A1A1A"/>
                <w:sz w:val="19"/>
                <w:szCs w:val="19"/>
              </w:rPr>
              <w:t xml:space="preserve">; assets to Lennar for "several dozen million"</w:t>
            </w:r>
          </w:p>
        </w:tc>
        <w:tc>
          <w:tcPr>
            <w:tcW w:type="dxa" w:w="1583"/>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b/>
                <w:bCs/>
                <w:color w:val="1A1A1A"/>
                <w:sz w:val="19"/>
                <w:szCs w:val="19"/>
              </w:rPr>
              <w:t xml:space="preserve">~$600M raised</w:t>
            </w:r>
          </w:p>
        </w:tc>
      </w:tr>
      <w:tr>
        <w:trPr>
          <w:cantSplit/>
        </w:trPr>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b/>
                <w:bCs/>
                <w:color w:val="1A1A1A"/>
                <w:sz w:val="19"/>
                <w:szCs w:val="19"/>
              </w:rPr>
              <w:t xml:space="preserve">Mighty Buildings</w:t>
            </w:r>
          </w:p>
        </w:tc>
        <w:tc>
          <w:tcPr>
            <w:tcW w:type="dxa" w:w="2433"/>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3D-printed panels</w:t>
            </w:r>
          </w:p>
        </w:tc>
        <w:tc>
          <w:tcPr>
            <w:tcW w:type="dxa" w:w="389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b/>
                <w:bCs/>
                <w:color w:val="1A1A1A"/>
                <w:sz w:val="19"/>
                <w:szCs w:val="19"/>
              </w:rPr>
              <w:t xml:space="preserve">Assets sold 2025</w:t>
            </w:r>
            <w:r>
              <w:rPr>
                <w:rFonts w:ascii="Calibri" w:cs="Calibri" w:eastAsia="Calibri" w:hAnsi="Calibri"/>
                <w:color w:val="1A1A1A"/>
                <w:sz w:val="19"/>
                <w:szCs w:val="19"/>
              </w:rPr>
              <w:t xml:space="preserve">; now a component brand of another company</w:t>
            </w:r>
          </w:p>
        </w:tc>
        <w:tc>
          <w:tcPr>
            <w:tcW w:type="dxa" w:w="1583"/>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b/>
                <w:bCs/>
                <w:color w:val="1A1A1A"/>
                <w:sz w:val="19"/>
                <w:szCs w:val="19"/>
              </w:rPr>
              <w:t xml:space="preserve">~$150M raised</w:t>
            </w:r>
          </w:p>
        </w:tc>
      </w:tr>
      <w:tr>
        <w:trPr>
          <w:cantSplit/>
        </w:trPr>
        <w:tc>
          <w:tcPr>
            <w:tcW w:type="dxa" w:w="1450"/>
            <w:tcBorders>
              <w:top w:val="nil"/>
              <w:left w:val="nil"/>
              <w:bottom w:val="single" w:color="D9D9D9" w:sz="4"/>
              <w:right w:val="nil"/>
            </w:tcBorders>
            <w:tcMar>
              <w:top w:type="dxa" w:w="70"/>
              <w:left w:type="dxa" w:w="100"/>
              <w:bottom w:type="dxa" w:w="70"/>
              <w:right w:type="dxa" w:w="100"/>
            </w:tcMar>
          </w:tcPr>
          <w:p>
            <w:pPr>
              <w:keepNext/>
              <w:jc w:val="left"/>
            </w:pPr>
            <w:r>
              <w:rPr>
                <w:rFonts w:ascii="Calibri" w:cs="Calibri" w:eastAsia="Calibri" w:hAnsi="Calibri"/>
                <w:b/>
                <w:bCs/>
                <w:color w:val="1A1A1A"/>
                <w:sz w:val="19"/>
                <w:szCs w:val="19"/>
              </w:rPr>
              <w:t xml:space="preserve">Diamond Age</w:t>
            </w:r>
          </w:p>
        </w:tc>
        <w:tc>
          <w:tcPr>
            <w:tcW w:type="dxa" w:w="2433"/>
            <w:tcBorders>
              <w:top w:val="nil"/>
              <w:left w:val="nil"/>
              <w:bottom w:val="single" w:color="D9D9D9" w:sz="4"/>
              <w:right w:val="nil"/>
            </w:tcBorders>
            <w:tcMar>
              <w:top w:type="dxa" w:w="70"/>
              <w:left w:type="dxa" w:w="100"/>
              <w:bottom w:type="dxa" w:w="70"/>
              <w:right w:type="dxa" w:w="100"/>
            </w:tcMar>
          </w:tcPr>
          <w:p>
            <w:pPr>
              <w:keepNext/>
              <w:jc w:val="left"/>
            </w:pPr>
            <w:r>
              <w:rPr>
                <w:rFonts w:ascii="Calibri" w:cs="Calibri" w:eastAsia="Calibri" w:hAnsi="Calibri"/>
                <w:color w:val="1A1A1A"/>
                <w:sz w:val="19"/>
                <w:szCs w:val="19"/>
              </w:rPr>
              <w:t xml:space="preserve">3D-printed, robotic</w:t>
            </w:r>
          </w:p>
        </w:tc>
        <w:tc>
          <w:tcPr>
            <w:tcW w:type="dxa" w:w="3894"/>
            <w:tcBorders>
              <w:top w:val="nil"/>
              <w:left w:val="nil"/>
              <w:bottom w:val="single" w:color="D9D9D9" w:sz="4"/>
              <w:right w:val="nil"/>
            </w:tcBorders>
            <w:tcMar>
              <w:top w:type="dxa" w:w="70"/>
              <w:left w:type="dxa" w:w="100"/>
              <w:bottom w:type="dxa" w:w="70"/>
              <w:right w:type="dxa" w:w="100"/>
            </w:tcMar>
          </w:tcPr>
          <w:p>
            <w:pPr>
              <w:keepNext/>
              <w:jc w:val="left"/>
            </w:pPr>
            <w:r>
              <w:rPr>
                <w:rFonts w:ascii="Calibri" w:cs="Calibri" w:eastAsia="Calibri" w:hAnsi="Calibri"/>
                <w:b/>
                <w:bCs/>
                <w:color w:val="1A1A1A"/>
                <w:sz w:val="19"/>
                <w:szCs w:val="19"/>
              </w:rPr>
              <w:t xml:space="preserve">Ceased operations Dec 2024.</w:t>
            </w:r>
            <w:r>
              <w:rPr>
                <w:rFonts w:ascii="Calibri" w:cs="Calibri" w:eastAsia="Calibri" w:hAnsi="Calibri"/>
                <w:color w:val="1A1A1A"/>
                <w:sz w:val="19"/>
                <w:szCs w:val="19"/>
              </w:rPr>
              <w:t xml:space="preserve"> Founder: "we just simply ran out of time"</w:t>
            </w:r>
          </w:p>
        </w:tc>
        <w:tc>
          <w:tcPr>
            <w:tcW w:type="dxa" w:w="1583"/>
            <w:tcBorders>
              <w:top w:val="nil"/>
              <w:left w:val="nil"/>
              <w:bottom w:val="single" w:color="D9D9D9" w:sz="4"/>
              <w:right w:val="nil"/>
            </w:tcBorders>
            <w:tcMar>
              <w:top w:type="dxa" w:w="70"/>
              <w:left w:type="dxa" w:w="100"/>
              <w:bottom w:type="dxa" w:w="70"/>
              <w:right w:type="dxa" w:w="100"/>
            </w:tcMar>
          </w:tcPr>
          <w:p>
            <w:pPr>
              <w:keepNext/>
              <w:jc w:val="left"/>
            </w:pPr>
            <w:r>
              <w:rPr>
                <w:rFonts w:ascii="Calibri" w:cs="Calibri" w:eastAsia="Calibri" w:hAnsi="Calibri"/>
                <w:b/>
                <w:bCs/>
                <w:color w:val="1A1A1A"/>
                <w:sz w:val="19"/>
                <w:szCs w:val="19"/>
              </w:rPr>
              <w:t xml:space="preserve">~$55.7M raised</w:t>
            </w:r>
          </w:p>
        </w:tc>
      </w:tr>
    </w:tbl>
    <w:p>
      <w:pPr>
        <w:spacing w:after="220" w:before="70"/>
      </w:pPr>
      <w:r>
        <w:rPr>
          <w:rFonts w:ascii="Calibri" w:cs="Calibri" w:eastAsia="Calibri" w:hAnsi="Calibri"/>
          <w:i/>
          <w:iCs/>
          <w:color w:val="5A5A5A"/>
          <w:sz w:val="16"/>
          <w:szCs w:val="16"/>
        </w:rPr>
        <w:t xml:space="preserve">Source: public records as cited. As of 16 September 2026.</w:t>
      </w:r>
    </w:p>
    <w:p>
      <w:pPr>
        <w:spacing w:after="140" w:line="276"/>
      </w:pPr>
      <w:r>
        <w:rPr>
          <w:rFonts w:ascii="Calibri" w:cs="Calibri" w:eastAsia="Calibri" w:hAnsi="Calibri"/>
          <w:color w:val="1A1A1A"/>
          <w:sz w:val="21"/>
          <w:szCs w:val="21"/>
        </w:rPr>
        <w:t xml:space="preserve">Four of those failures are confirmed from primary records — bankruptcy dockets, WARN notices, acquisition filings — and between them they consumed about </w:t>
      </w:r>
      <w:r>
        <w:rPr>
          <w:rFonts w:ascii="Calibri" w:cs="Calibri" w:eastAsia="Calibri" w:hAnsi="Calibri"/>
          <w:b/>
          <w:bCs/>
          <w:color w:val="1A1A1A"/>
          <w:sz w:val="21"/>
          <w:szCs w:val="21"/>
        </w:rPr>
        <w:t xml:space="preserve">$2.95 billion</w:t>
      </w:r>
      <w:r>
        <w:rPr>
          <w:rFonts w:ascii="Calibri" w:cs="Calibri" w:eastAsia="Calibri" w:hAnsi="Calibri"/>
          <w:color w:val="1A1A1A"/>
          <w:sz w:val="21"/>
          <w:szCs w:val="21"/>
        </w:rPr>
        <w:t xml:space="preserve">. Two more, Connect Homes and United Dwelling, are dark: a WARN plant closure and a domain redirect in one case, a dead website and no filing since January 2023 in the other.</w:t>
      </w:r>
    </w:p>
    <w:p>
      <w:pPr>
        <w:spacing w:after="140" w:line="276"/>
      </w:pPr>
      <w:r>
        <w:rPr>
          <w:rFonts w:ascii="Calibri" w:cs="Calibri" w:eastAsia="Calibri" w:hAnsi="Calibri"/>
          <w:b/>
          <w:bCs/>
          <w:color w:val="1A1A1A"/>
          <w:sz w:val="21"/>
          <w:szCs w:val="21"/>
        </w:rPr>
        <w:t xml:space="preserve">What a finished factory-built rebuild looks like on paper.</w:t>
      </w:r>
      <w:r>
        <w:rPr>
          <w:rFonts w:ascii="Calibri" w:cs="Calibri" w:eastAsia="Calibri" w:hAnsi="Calibri"/>
          <w:color w:val="1A1A1A"/>
          <w:sz w:val="21"/>
          <w:szCs w:val="21"/>
        </w:rPr>
        <w:t xml:space="preserve"> One Palisades rebuild in the permit record is explicitly "FACTORY-BUILT, STATE-APPROVED": permit 25010-10000-01905, issued 2025-05-23 at a $372,000 valuation, with a certificate of occupancy issued 2026-03-13 [filing — LADBS]. The address is a private home and is left out here; the permit number is the citation. The certificate carries a contractor licence number, 1039029, which resolves to </w:t>
      </w:r>
      <w:r>
        <w:rPr>
          <w:rFonts w:ascii="Calibri" w:cs="Calibri" w:eastAsia="Calibri" w:hAnsi="Calibri"/>
          <w:b/>
          <w:bCs/>
          <w:color w:val="1A1A1A"/>
          <w:sz w:val="21"/>
          <w:szCs w:val="21"/>
        </w:rPr>
        <w:t xml:space="preserve">Cover Technologies Inc</w:t>
      </w:r>
      <w:r>
        <w:rPr>
          <w:rFonts w:ascii="Calibri" w:cs="Calibri" w:eastAsia="Calibri" w:hAnsi="Calibri"/>
          <w:color w:val="1A1A1A"/>
          <w:sz w:val="21"/>
          <w:szCs w:val="21"/>
        </w:rPr>
        <w:t xml:space="preserve"> of Gardena — an active class B general building licence, with a named bond and a current workers' compensation policy [filing — CSLB]. That is the documentary trail a completed factory-built house leaves in California: a permit, a licensed contractor of record, a bond, and a certificate of occupancy. It is the trail Cosmic does not yet have.</w:t>
      </w:r>
    </w:p>
    <w:p>
      <w:pPr>
        <w:spacing w:after="140" w:line="276"/>
      </w:pPr>
      <w:r>
        <w:rPr>
          <w:rFonts w:ascii="Calibri" w:cs="Calibri" w:eastAsia="Calibri" w:hAnsi="Calibri"/>
          <w:b/>
          <w:bCs/>
          <w:color w:val="1A1A1A"/>
          <w:sz w:val="21"/>
          <w:szCs w:val="21"/>
        </w:rPr>
        <w:t xml:space="preserve">Who the incumbent really is</w:t>
      </w:r>
      <w:r>
        <w:rPr>
          <w:rFonts w:ascii="Calibri" w:cs="Calibri" w:eastAsia="Calibri" w:hAnsi="Calibri"/>
          <w:color w:val="1A1A1A"/>
          <w:sz w:val="21"/>
          <w:szCs w:val="21"/>
        </w:rPr>
        <w:t xml:space="preserve"> — A small general contractor. Not another startup, and not a factory. After thirty years of attempts, </w:t>
      </w:r>
      <w:r>
        <w:rPr>
          <w:rFonts w:ascii="Calibri" w:cs="Calibri" w:eastAsia="Calibri" w:hAnsi="Calibri"/>
          <w:b/>
          <w:bCs/>
          <w:color w:val="1A1A1A"/>
          <w:sz w:val="21"/>
          <w:szCs w:val="21"/>
        </w:rPr>
        <w:t xml:space="preserve">offsite methods account for 3% of US single-family completions, down from a 7% peak in 1998</w:t>
      </w:r>
      <w:r>
        <w:rPr>
          <w:rFonts w:ascii="Calibri" w:cs="Calibri" w:eastAsia="Calibri" w:hAnsi="Calibri"/>
          <w:color w:val="1A1A1A"/>
          <w:sz w:val="21"/>
          <w:szCs w:val="21"/>
        </w:rPr>
        <w:t xml:space="preserve"> [observed — NAHB tabulation of the Census Survey of Construction]. In Los Angeles roughly four thousand licensed contractors are actively working on ADU projects [inference — vendor analysis of city permit records]. The competitor Cosmic must beat is a builder with a crew, a truck and a relationship with the homeowner's architect, and the homeowners themselves say what they value: asked what mattered most, survey respondents named zoning reform and cash availability, and more than a hundred volunteered unprompted that having a competent general contractor was the best part of their project.</w:t>
      </w:r>
    </w:p>
    <w:p>
      <w:pPr>
        <w:keepNext/>
        <w:spacing w:after="80" w:line="276"/>
      </w:pPr>
      <w:r>
        <w:rPr>
          <w:rFonts w:ascii="Calibri" w:cs="Calibri" w:eastAsia="Calibri" w:hAnsi="Calibri"/>
          <w:b/>
          <w:bCs/>
          <w:color w:val="1A1A1A"/>
          <w:sz w:val="21"/>
          <w:szCs w:val="21"/>
        </w:rPr>
        <w:t xml:space="preserve">Structural notes</w:t>
      </w:r>
    </w:p>
    <w:p>
      <w:pPr>
        <w:pStyle w:val="ListParagraph"/>
        <w:numPr>
          <w:ilvl w:val="0"/>
          <w:numId w:val="3"/>
        </w:numPr>
        <w:spacing w:after="100" w:line="276"/>
      </w:pPr>
      <w:r>
        <w:rPr>
          <w:rFonts w:ascii="Calibri" w:cs="Calibri" w:eastAsia="Calibri" w:hAnsi="Calibri"/>
          <w:b/>
          <w:bCs/>
          <w:color w:val="1A1A1A"/>
          <w:sz w:val="21"/>
          <w:szCs w:val="21"/>
        </w:rPr>
        <w:t xml:space="preserve">Permitting, not building, is the long pole.</w:t>
      </w:r>
      <w:r>
        <w:rPr>
          <w:rFonts w:ascii="Calibri" w:cs="Calibri" w:eastAsia="Calibri" w:hAnsi="Calibri"/>
          <w:color w:val="1A1A1A"/>
          <w:sz w:val="21"/>
          <w:szCs w:val="21"/>
        </w:rPr>
        <w:t xml:space="preserve"> Median time from ADU permit issue to certificate of occupancy is 10.1 months statewide and 12.6 months in the City of LA; permitting itself runs 147 days in LA County and </w:t>
      </w:r>
      <w:r>
        <w:rPr>
          <w:rFonts w:ascii="Calibri" w:cs="Calibri" w:eastAsia="Calibri" w:hAnsi="Calibri"/>
          <w:b/>
          <w:bCs/>
          <w:color w:val="1A1A1A"/>
          <w:sz w:val="21"/>
          <w:szCs w:val="21"/>
        </w:rPr>
        <w:t xml:space="preserve">260 days inside the Coastal Zone, where Pacific Palisades sits</w:t>
      </w:r>
      <w:r>
        <w:rPr>
          <w:rFonts w:ascii="Calibri" w:cs="Calibri" w:eastAsia="Calibri" w:hAnsi="Calibri"/>
          <w:color w:val="1A1A1A"/>
          <w:sz w:val="21"/>
          <w:szCs w:val="21"/>
        </w:rPr>
        <w:t xml:space="preserve">. A framing process that saves a fortnight is operating on a small part of the clock.</w:t>
      </w:r>
    </w:p>
    <w:p>
      <w:pPr>
        <w:pStyle w:val="ListParagraph"/>
        <w:numPr>
          <w:ilvl w:val="0"/>
          <w:numId w:val="3"/>
        </w:numPr>
        <w:spacing w:after="100" w:line="276"/>
      </w:pPr>
      <w:r>
        <w:rPr>
          <w:rFonts w:ascii="Calibri" w:cs="Calibri" w:eastAsia="Calibri" w:hAnsi="Calibri"/>
          <w:b/>
          <w:bCs/>
          <w:color w:val="1A1A1A"/>
          <w:sz w:val="21"/>
          <w:szCs w:val="21"/>
        </w:rPr>
        <w:t xml:space="preserve">Factories need backlog, not capacity.</w:t>
      </w:r>
      <w:r>
        <w:rPr>
          <w:rFonts w:ascii="Calibri" w:cs="Calibri" w:eastAsia="Calibri" w:hAnsi="Calibri"/>
          <w:color w:val="1A1A1A"/>
          <w:sz w:val="21"/>
          <w:szCs w:val="21"/>
        </w:rPr>
        <w:t xml:space="preserve"> Terner's interviews put it plainly: modular firms try to hold one to two years of projects to keep the lights on, and one operator described it as "like airlines: you always have to be overbooked." Cosmic's design is a genuine answer to this — a cell costing hundreds of thousands rather than a plant costing tens of millions changes what idle time costs.</w:t>
      </w:r>
    </w:p>
    <w:p>
      <w:pPr>
        <w:pStyle w:val="ListParagraph"/>
        <w:numPr>
          <w:ilvl w:val="0"/>
          <w:numId w:val="3"/>
        </w:numPr>
        <w:spacing w:after="100" w:line="276"/>
      </w:pPr>
      <w:r>
        <w:rPr>
          <w:rFonts w:ascii="Calibri" w:cs="Calibri" w:eastAsia="Calibri" w:hAnsi="Calibri"/>
          <w:b/>
          <w:bCs/>
          <w:color w:val="1A1A1A"/>
          <w:sz w:val="21"/>
          <w:szCs w:val="21"/>
        </w:rPr>
        <w:t xml:space="preserve">The savings are documented as smaller than the pitch.</w:t>
      </w:r>
      <w:r>
        <w:rPr>
          <w:rFonts w:ascii="Calibri" w:cs="Calibri" w:eastAsia="Calibri" w:hAnsi="Calibri"/>
          <w:color w:val="1A1A1A"/>
          <w:sz w:val="21"/>
          <w:szCs w:val="21"/>
        </w:rPr>
        <w:t xml:space="preserve"> Terner's assessment of realised outcomes records time savings of 10–30% as achieved, and cost savings as "inconsistent but promising", with most respondents reporting </w:t>
      </w:r>
      <w:r>
        <w:rPr>
          <w:rFonts w:ascii="Calibri" w:cs="Calibri" w:eastAsia="Calibri" w:hAnsi="Calibri"/>
          <w:b/>
          <w:bCs/>
          <w:color w:val="1A1A1A"/>
          <w:sz w:val="21"/>
          <w:szCs w:val="21"/>
        </w:rPr>
        <w:t xml:space="preserve">rough parity</w:t>
      </w:r>
      <w:r>
        <w:rPr>
          <w:rFonts w:ascii="Calibri" w:cs="Calibri" w:eastAsia="Calibri" w:hAnsi="Calibri"/>
          <w:color w:val="1A1A1A"/>
          <w:sz w:val="21"/>
          <w:szCs w:val="21"/>
        </w:rPr>
        <w:t xml:space="preserve"> with site-built.</w:t>
      </w:r>
    </w:p>
    <w:p>
      <w:pPr>
        <w:pStyle w:val="ListParagraph"/>
        <w:numPr>
          <w:ilvl w:val="0"/>
          <w:numId w:val="3"/>
        </w:numPr>
        <w:spacing w:after="100" w:line="276"/>
      </w:pPr>
      <w:r>
        <w:rPr>
          <w:rFonts w:ascii="Calibri" w:cs="Calibri" w:eastAsia="Calibri" w:hAnsi="Calibri"/>
          <w:b/>
          <w:bCs/>
          <w:color w:val="1A1A1A"/>
          <w:sz w:val="21"/>
          <w:szCs w:val="21"/>
        </w:rPr>
        <w:t xml:space="preserve">Financing just changed.</w:t>
      </w:r>
      <w:r>
        <w:rPr>
          <w:rFonts w:ascii="Calibri" w:cs="Calibri" w:eastAsia="Calibri" w:hAnsi="Calibri"/>
          <w:color w:val="1A1A1A"/>
          <w:sz w:val="21"/>
          <w:szCs w:val="21"/>
        </w:rPr>
        <w:t xml:space="preserve"> Every study before 2025 named homeowner finance as the binding constraint; 53% of completed ADUs were paid for in cash. In October 2025 Fannie Mae began allowing projected ADU rental income to count toward mortgage qualification, with automated underwriting following in Q1 2026 — a real tailwind, arriving now. Cutting the other way, CalHFA's $40,000 ADU grant programme is fully allocated and closed.</w:t>
      </w:r>
    </w:p>
    <w:p>
      <w:pPr>
        <w:keepNext/>
        <w:keepLines/>
        <w:spacing w:after="140" w:before="340"/>
      </w:pPr>
      <w:r>
        <w:rPr>
          <w:rFonts w:ascii="Cambria" w:cs="Cambria" w:eastAsia="Cambria" w:hAnsi="Cambria"/>
          <w:b/>
          <w:bCs/>
          <w:color w:val="1F3A5F"/>
          <w:sz w:val="27"/>
          <w:szCs w:val="27"/>
        </w:rPr>
        <w:t xml:space="preserve">5. Financials</w:t>
      </w:r>
    </w:p>
    <w:p>
      <w:pPr>
        <w:spacing w:after="140" w:line="276"/>
      </w:pPr>
      <w:r>
        <w:rPr>
          <w:rFonts w:ascii="Calibri" w:cs="Calibri" w:eastAsia="Calibri" w:hAnsi="Calibri"/>
          <w:b/>
          <w:bCs/>
          <w:color w:val="1A1A1A"/>
          <w:sz w:val="21"/>
          <w:szCs w:val="21"/>
        </w:rPr>
        <w:t xml:space="preserve">Disclosed</w:t>
      </w:r>
      <w:r>
        <w:rPr>
          <w:rFonts w:ascii="Calibri" w:cs="Calibri" w:eastAsia="Calibri" w:hAnsi="Calibri"/>
          <w:color w:val="1A1A1A"/>
          <w:sz w:val="21"/>
          <w:szCs w:val="21"/>
        </w:rPr>
        <w:t xml:space="preserve"> — Almost nothing. One raise is on the record: $1.5M, pre-seed, first sale 2024-03-20, led by Fifth Quarter Ventures with CiRi Ventures, Climate Capital, Navitas Capital and angels [press]. No revenue, margin, headcount cost or cash figure has ever been published. </w:t>
      </w:r>
      <w:r>
        <w:rPr>
          <w:rFonts w:ascii="Calibri" w:cs="Calibri" w:eastAsia="Calibri" w:hAnsi="Calibri"/>
          <w:b/>
          <w:bCs/>
          <w:color w:val="1A1A1A"/>
          <w:sz w:val="21"/>
          <w:szCs w:val="21"/>
        </w:rPr>
        <w:t xml:space="preserve">No Form D was filed</w:t>
      </w:r>
      <w:r>
        <w:rPr>
          <w:rFonts w:ascii="Calibri" w:cs="Calibri" w:eastAsia="Calibri" w:hAnsi="Calibri"/>
          <w:color w:val="1A1A1A"/>
          <w:sz w:val="21"/>
          <w:szCs w:val="21"/>
        </w:rPr>
        <w:t xml:space="preserve"> — EDGAR's full-text index returns nothing for the company under any name variant, and no registrant exists [filing]. A $1.5M round with US investors would ordinarily produce one; this establishes that no Reg D filing was made, not that the round did not happen.</w:t>
      </w:r>
    </w:p>
    <w:p>
      <w:pPr>
        <w:keepNext/>
        <w:spacing w:after="80" w:line="276"/>
      </w:pPr>
      <w:r>
        <w:rPr>
          <w:rFonts w:ascii="Calibri" w:cs="Calibri" w:eastAsia="Calibri" w:hAnsi="Calibri"/>
          <w:b/>
          <w:bCs/>
          <w:color w:val="1A1A1A"/>
          <w:sz w:val="21"/>
          <w:szCs w:val="21"/>
        </w:rPr>
        <w:t xml:space="preserve">Funding history</w:t>
      </w:r>
    </w:p>
    <w:p>
      <w:pPr>
        <w:keepNext/>
        <w:spacing w:after="90" w:before="200"/>
      </w:pPr>
      <w:r>
        <w:rPr>
          <w:rFonts w:ascii="Calibri" w:cs="Calibri" w:eastAsia="Calibri" w:hAnsi="Calibri"/>
          <w:b/>
          <w:bCs/>
          <w:color w:val="1F3A5F"/>
          <w:sz w:val="19"/>
          <w:szCs w:val="19"/>
        </w:rPr>
        <w:t xml:space="preserve">Exhibit 7</w:t>
      </w:r>
      <w:r>
        <w:rPr>
          <w:rFonts w:ascii="Calibri" w:cs="Calibri" w:eastAsia="Calibri" w:hAnsi="Calibri"/>
          <w:b/>
          <w:bCs/>
          <w:color w:val="1A1A1A"/>
          <w:sz w:val="19"/>
          <w:szCs w:val="19"/>
        </w:rPr>
        <w:t xml:space="preserve">  —  Funding history</w:t>
      </w:r>
    </w:p>
    <w:tbl>
      <w:tblPr>
        <w:tblW w:type="dxa" w:w="9360"/>
        <w:tblBorders>
          <w:top w:val="nil"/>
          <w:left w:val="nil"/>
          <w:bottom w:val="single" w:color="1F3A5F" w:sz="8"/>
          <w:right w:val="nil"/>
          <w:insideH w:val="nil"/>
          <w:insideV w:val="nil"/>
        </w:tblBorders>
      </w:tblPr>
      <w:tblGrid>
        <w:gridCol w:w="1450"/>
        <w:gridCol w:w="2840"/>
        <w:gridCol w:w="2442"/>
        <w:gridCol w:w="2628"/>
      </w:tblGrid>
      <w:tr>
        <w:trPr>
          <w:cantSplit/>
          <w:tblHeader/>
        </w:trPr>
        <w:tc>
          <w:tcPr>
            <w:tcW w:type="dxa" w:w="145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Date</w:t>
            </w:r>
          </w:p>
        </w:tc>
        <w:tc>
          <w:tcPr>
            <w:tcW w:type="dxa" w:w="284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Round</w:t>
            </w:r>
          </w:p>
        </w:tc>
        <w:tc>
          <w:tcPr>
            <w:tcW w:type="dxa" w:w="2442"/>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Amount</w:t>
            </w:r>
          </w:p>
        </w:tc>
        <w:tc>
          <w:tcPr>
            <w:tcW w:type="dxa" w:w="2628"/>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Source</w:t>
            </w:r>
          </w:p>
        </w:tc>
      </w:tr>
      <w:tr>
        <w:trPr>
          <w:cantSplit/>
        </w:trPr>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2022-11-04</w:t>
            </w:r>
          </w:p>
        </w:tc>
        <w:tc>
          <w:tcPr>
            <w:tcW w:type="dxa" w:w="284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Pre-seed</w:t>
            </w:r>
          </w:p>
        </w:tc>
        <w:tc>
          <w:tcPr>
            <w:tcW w:type="dxa" w:w="2442"/>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not disclosed</w:t>
            </w:r>
          </w:p>
        </w:tc>
        <w:tc>
          <w:tcPr>
            <w:tcW w:type="dxa" w:w="2628"/>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Database listing [inference]</w:t>
            </w:r>
          </w:p>
        </w:tc>
      </w:tr>
      <w:tr>
        <w:trPr>
          <w:cantSplit/>
        </w:trPr>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2024-03-20</w:t>
            </w:r>
          </w:p>
        </w:tc>
        <w:tc>
          <w:tcPr>
            <w:tcW w:type="dxa" w:w="284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Pre-seed II</w:t>
            </w:r>
          </w:p>
        </w:tc>
        <w:tc>
          <w:tcPr>
            <w:tcW w:type="dxa" w:w="2442"/>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$1.5M</w:t>
            </w:r>
          </w:p>
        </w:tc>
        <w:tc>
          <w:tcPr>
            <w:tcW w:type="dxa" w:w="2628"/>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Contemporaneous press on the round date [press]</w:t>
            </w:r>
          </w:p>
        </w:tc>
      </w:tr>
      <w:tr>
        <w:trPr>
          <w:cantSplit/>
        </w:trPr>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2025</w:t>
            </w:r>
          </w:p>
        </w:tc>
        <w:tc>
          <w:tcPr>
            <w:tcW w:type="dxa" w:w="284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Katapult accelerator (Innovation Fund of Serbia) — non-dilutive</w:t>
            </w:r>
          </w:p>
        </w:tc>
        <w:tc>
          <w:tcPr>
            <w:tcW w:type="dxa" w:w="2442"/>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programme terms are €20k–50k at entry, co-investment up to €300k; the award is not published</w:t>
            </w:r>
          </w:p>
        </w:tc>
        <w:tc>
          <w:tcPr>
            <w:tcW w:type="dxa" w:w="2628"/>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Programme page [filing]</w:t>
            </w:r>
          </w:p>
        </w:tc>
      </w:tr>
      <w:tr>
        <w:trPr>
          <w:cantSplit/>
        </w:trPr>
        <w:tc>
          <w:tcPr>
            <w:tcW w:type="dxa" w:w="1450"/>
            <w:tcBorders>
              <w:top w:val="nil"/>
              <w:left w:val="nil"/>
              <w:bottom w:val="single" w:color="D9D9D9" w:sz="4"/>
              <w:right w:val="nil"/>
            </w:tcBorders>
            <w:tcMar>
              <w:top w:type="dxa" w:w="70"/>
              <w:left w:type="dxa" w:w="100"/>
              <w:bottom w:type="dxa" w:w="70"/>
              <w:right w:type="dxa" w:w="100"/>
            </w:tcMar>
          </w:tcPr>
          <w:p>
            <w:pPr>
              <w:keepNext/>
              <w:jc w:val="left"/>
            </w:pPr>
            <w:r>
              <w:rPr>
                <w:rFonts w:ascii="Calibri" w:cs="Calibri" w:eastAsia="Calibri" w:hAnsi="Calibri"/>
                <w:color w:val="1A1A1A"/>
                <w:sz w:val="19"/>
                <w:szCs w:val="19"/>
              </w:rPr>
              <w:t xml:space="preserve">—</w:t>
            </w:r>
          </w:p>
        </w:tc>
        <w:tc>
          <w:tcPr>
            <w:tcW w:type="dxa" w:w="2840"/>
            <w:tcBorders>
              <w:top w:val="nil"/>
              <w:left w:val="nil"/>
              <w:bottom w:val="single" w:color="D9D9D9" w:sz="4"/>
              <w:right w:val="nil"/>
            </w:tcBorders>
            <w:tcMar>
              <w:top w:type="dxa" w:w="70"/>
              <w:left w:type="dxa" w:w="100"/>
              <w:bottom w:type="dxa" w:w="70"/>
              <w:right w:type="dxa" w:w="100"/>
            </w:tcMar>
          </w:tcPr>
          <w:p>
            <w:pPr>
              <w:keepNext/>
              <w:jc w:val="left"/>
            </w:pPr>
            <w:r>
              <w:rPr>
                <w:rFonts w:ascii="Calibri" w:cs="Calibri" w:eastAsia="Calibri" w:hAnsi="Calibri"/>
                <w:color w:val="1A1A1A"/>
                <w:sz w:val="19"/>
                <w:szCs w:val="19"/>
              </w:rPr>
              <w:t xml:space="preserve">Anything after March 2024</w:t>
            </w:r>
          </w:p>
        </w:tc>
        <w:tc>
          <w:tcPr>
            <w:tcW w:type="dxa" w:w="2442"/>
            <w:tcBorders>
              <w:top w:val="nil"/>
              <w:left w:val="nil"/>
              <w:bottom w:val="single" w:color="D9D9D9" w:sz="4"/>
              <w:right w:val="nil"/>
            </w:tcBorders>
            <w:tcMar>
              <w:top w:type="dxa" w:w="70"/>
              <w:left w:type="dxa" w:w="100"/>
              <w:bottom w:type="dxa" w:w="70"/>
              <w:right w:type="dxa" w:w="100"/>
            </w:tcMar>
          </w:tcPr>
          <w:p>
            <w:pPr>
              <w:keepNext/>
              <w:jc w:val="left"/>
            </w:pPr>
            <w:r>
              <w:rPr>
                <w:rFonts w:ascii="Calibri" w:cs="Calibri" w:eastAsia="Calibri" w:hAnsi="Calibri"/>
                <w:b/>
                <w:bCs/>
                <w:color w:val="B04A3F"/>
                <w:sz w:val="21"/>
                <w:szCs w:val="21"/>
              </w:rPr>
              <w:t xml:space="preserve">none found</w:t>
            </w:r>
          </w:p>
        </w:tc>
        <w:tc>
          <w:tcPr>
            <w:tcW w:type="dxa" w:w="2628"/>
            <w:tcBorders>
              <w:top w:val="nil"/>
              <w:left w:val="nil"/>
              <w:bottom w:val="single" w:color="D9D9D9" w:sz="4"/>
              <w:right w:val="nil"/>
            </w:tcBorders>
            <w:tcMar>
              <w:top w:type="dxa" w:w="70"/>
              <w:left w:type="dxa" w:w="100"/>
              <w:bottom w:type="dxa" w:w="70"/>
              <w:right w:type="dxa" w:w="100"/>
            </w:tcMar>
          </w:tcPr>
          <w:p>
            <w:pPr>
              <w:keepNext/>
              <w:jc w:val="left"/>
            </w:pPr>
            <w:r>
              <w:rPr>
                <w:rFonts w:ascii="Calibri" w:cs="Calibri" w:eastAsia="Calibri" w:hAnsi="Calibri"/>
                <w:color w:val="1A1A1A"/>
                <w:sz w:val="19"/>
                <w:szCs w:val="19"/>
              </w:rPr>
              <w:t xml:space="preserve">—</w:t>
            </w:r>
          </w:p>
        </w:tc>
      </w:tr>
    </w:tbl>
    <w:p>
      <w:pPr>
        <w:spacing w:after="220" w:before="70"/>
      </w:pPr>
      <w:r>
        <w:rPr>
          <w:rFonts w:ascii="Calibri" w:cs="Calibri" w:eastAsia="Calibri" w:hAnsi="Calibri"/>
          <w:i/>
          <w:iCs/>
          <w:color w:val="5A5A5A"/>
          <w:sz w:val="16"/>
          <w:szCs w:val="16"/>
        </w:rPr>
        <w:t xml:space="preserve">Source: public records as cited. As of 16 September 2026.</w:t>
      </w:r>
    </w:p>
    <w:p>
      <w:pPr>
        <w:spacing w:after="140" w:line="276"/>
      </w:pPr>
      <w:r>
        <w:rPr>
          <w:rFonts w:ascii="Calibri" w:cs="Calibri" w:eastAsia="Calibri" w:hAnsi="Calibri"/>
          <w:b/>
          <w:bCs/>
          <w:color w:val="1A1A1A"/>
          <w:sz w:val="21"/>
          <w:szCs w:val="21"/>
        </w:rPr>
        <w:t xml:space="preserve">The conflicting number.</w:t>
      </w:r>
      <w:r>
        <w:rPr>
          <w:rFonts w:ascii="Calibri" w:cs="Calibri" w:eastAsia="Calibri" w:hAnsi="Calibri"/>
          <w:color w:val="1A1A1A"/>
          <w:sz w:val="21"/>
          <w:szCs w:val="21"/>
        </w:rPr>
        <w:t xml:space="preserve"> The lead investor's own portfolio page displays "11M Euros Raised" for Cosmic [company-stated, via investor]. Nothing corroborates it: every database, and the contemporaneous press on the round date, says $1.5M. The same tile block also shows "2X more profit" and names a co-founder, "Ana M.", who appears in no other source anywhere. Read together, these read as unfilled template values rather than disclosures. The figure is recorded here and used as evidence for nothing.</w:t>
      </w:r>
    </w:p>
    <w:p>
      <w:pPr>
        <w:keepNext/>
        <w:spacing w:after="80" w:line="276"/>
      </w:pPr>
      <w:r>
        <w:rPr>
          <w:rFonts w:ascii="Calibri" w:cs="Calibri" w:eastAsia="Calibri" w:hAnsi="Calibri"/>
          <w:b/>
          <w:bCs/>
          <w:color w:val="1A1A1A"/>
          <w:sz w:val="21"/>
          <w:szCs w:val="21"/>
        </w:rPr>
        <w:t xml:space="preserve">Estimated</w:t>
      </w:r>
    </w:p>
    <w:p>
      <w:pPr>
        <w:keepNext/>
        <w:spacing w:after="90" w:before="200"/>
      </w:pPr>
      <w:r>
        <w:rPr>
          <w:rFonts w:ascii="Calibri" w:cs="Calibri" w:eastAsia="Calibri" w:hAnsi="Calibri"/>
          <w:b/>
          <w:bCs/>
          <w:color w:val="1F3A5F"/>
          <w:sz w:val="19"/>
          <w:szCs w:val="19"/>
        </w:rPr>
        <w:t xml:space="preserve">Exhibit 8</w:t>
      </w:r>
      <w:r>
        <w:rPr>
          <w:rFonts w:ascii="Calibri" w:cs="Calibri" w:eastAsia="Calibri" w:hAnsi="Calibri"/>
          <w:b/>
          <w:bCs/>
          <w:color w:val="1A1A1A"/>
          <w:sz w:val="19"/>
          <w:szCs w:val="19"/>
        </w:rPr>
        <w:t xml:space="preserve">  —  Estimated</w:t>
      </w:r>
    </w:p>
    <w:tbl>
      <w:tblPr>
        <w:tblW w:type="dxa" w:w="9360"/>
        <w:tblBorders>
          <w:top w:val="nil"/>
          <w:left w:val="nil"/>
          <w:bottom w:val="single" w:color="1F3A5F" w:sz="8"/>
          <w:right w:val="nil"/>
          <w:insideH w:val="nil"/>
          <w:insideV w:val="nil"/>
        </w:tblBorders>
      </w:tblPr>
      <w:tblGrid>
        <w:gridCol w:w="2187"/>
        <w:gridCol w:w="1450"/>
        <w:gridCol w:w="1450"/>
        <w:gridCol w:w="4273"/>
      </w:tblGrid>
      <w:tr>
        <w:trPr>
          <w:cantSplit/>
          <w:tblHeader/>
        </w:trPr>
        <w:tc>
          <w:tcPr>
            <w:tcW w:type="dxa" w:w="2187"/>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Item</w:t>
            </w:r>
          </w:p>
        </w:tc>
        <w:tc>
          <w:tcPr>
            <w:tcW w:type="dxa" w:w="145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Estimate</w:t>
            </w:r>
          </w:p>
        </w:tc>
        <w:tc>
          <w:tcPr>
            <w:tcW w:type="dxa" w:w="145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Tier</w:t>
            </w:r>
          </w:p>
        </w:tc>
        <w:tc>
          <w:tcPr>
            <w:tcW w:type="dxa" w:w="4273"/>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Derivation</w:t>
            </w:r>
          </w:p>
        </w:tc>
      </w:tr>
      <w:tr>
        <w:trPr>
          <w:cantSplit/>
        </w:trPr>
        <w:tc>
          <w:tcPr>
            <w:tcW w:type="dxa" w:w="2187"/>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Operating expense, 2026</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~$3.2M</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inferred</w:t>
            </w:r>
          </w:p>
        </w:tc>
        <w:tc>
          <w:tcPr>
            <w:tcW w:type="dxa" w:w="4273"/>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~10 US staff at ~$180k loaded, ~20 Belgrade staff at ~$45k loaded, plus ~20% non-payroll. The Belgrade split is what makes the burn survivable — the same headcount in California would run close to $6M</w:t>
            </w:r>
          </w:p>
        </w:tc>
      </w:tr>
      <w:tr>
        <w:trPr>
          <w:cantSplit/>
        </w:trPr>
        <w:tc>
          <w:tcPr>
            <w:tcW w:type="dxa" w:w="2187"/>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Revenue to date</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under ~$1M</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inferred</w:t>
            </w:r>
          </w:p>
        </w:tc>
        <w:tc>
          <w:tcPr>
            <w:tcW w:type="dxa" w:w="4273"/>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Two completed ADUs at list [observed], plus design fees. Concept designs for fire-affected families are given away free [company-stated]</w:t>
            </w:r>
          </w:p>
        </w:tc>
      </w:tr>
      <w:tr>
        <w:trPr>
          <w:cantSplit/>
        </w:trPr>
        <w:tc>
          <w:tcPr>
            <w:tcW w:type="dxa" w:w="2187"/>
            <w:tcBorders>
              <w:top w:val="nil"/>
              <w:left w:val="nil"/>
              <w:bottom w:val="single" w:color="D9D9D9" w:sz="4"/>
              <w:right w:val="nil"/>
            </w:tcBorders>
            <w:tcMar>
              <w:top w:type="dxa" w:w="70"/>
              <w:left w:type="dxa" w:w="100"/>
              <w:bottom w:type="dxa" w:w="70"/>
              <w:right w:type="dxa" w:w="100"/>
            </w:tcMar>
          </w:tcPr>
          <w:p>
            <w:pPr>
              <w:keepNext/>
              <w:jc w:val="left"/>
            </w:pPr>
            <w:r>
              <w:rPr>
                <w:rFonts w:ascii="Calibri" w:cs="Calibri" w:eastAsia="Calibri" w:hAnsi="Calibri"/>
                <w:color w:val="1A1A1A"/>
                <w:sz w:val="19"/>
                <w:szCs w:val="19"/>
              </w:rPr>
              <w:t xml:space="preserve">Cash on hand</w:t>
            </w:r>
          </w:p>
        </w:tc>
        <w:tc>
          <w:tcPr>
            <w:tcW w:type="dxa" w:w="1450"/>
            <w:tcBorders>
              <w:top w:val="nil"/>
              <w:left w:val="nil"/>
              <w:bottom w:val="single" w:color="D9D9D9" w:sz="4"/>
              <w:right w:val="nil"/>
            </w:tcBorders>
            <w:tcMar>
              <w:top w:type="dxa" w:w="70"/>
              <w:left w:type="dxa" w:w="100"/>
              <w:bottom w:type="dxa" w:w="70"/>
              <w:right w:type="dxa" w:w="100"/>
            </w:tcMar>
          </w:tcPr>
          <w:p>
            <w:pPr>
              <w:keepNext/>
              <w:jc w:val="left"/>
            </w:pPr>
            <w:r>
              <w:rPr>
                <w:rFonts w:ascii="Calibri" w:cs="Calibri" w:eastAsia="Calibri" w:hAnsi="Calibri"/>
                <w:color w:val="1A1A1A"/>
                <w:sz w:val="19"/>
                <w:szCs w:val="19"/>
              </w:rPr>
              <w:t xml:space="preserve">unknown</w:t>
            </w:r>
          </w:p>
        </w:tc>
        <w:tc>
          <w:tcPr>
            <w:tcW w:type="dxa" w:w="1450"/>
            <w:tcBorders>
              <w:top w:val="nil"/>
              <w:left w:val="nil"/>
              <w:bottom w:val="single" w:color="D9D9D9" w:sz="4"/>
              <w:right w:val="nil"/>
            </w:tcBorders>
            <w:tcMar>
              <w:top w:type="dxa" w:w="70"/>
              <w:left w:type="dxa" w:w="100"/>
              <w:bottom w:type="dxa" w:w="70"/>
              <w:right w:type="dxa" w:w="100"/>
            </w:tcMar>
          </w:tcPr>
          <w:p>
            <w:pPr>
              <w:keepNext/>
              <w:jc w:val="left"/>
            </w:pPr>
            <w:r>
              <w:rPr>
                <w:rFonts w:ascii="Calibri" w:cs="Calibri" w:eastAsia="Calibri" w:hAnsi="Calibri"/>
                <w:color w:val="1A1A1A"/>
                <w:sz w:val="19"/>
                <w:szCs w:val="19"/>
              </w:rPr>
              <w:t xml:space="preserve">guess</w:t>
            </w:r>
          </w:p>
        </w:tc>
        <w:tc>
          <w:tcPr>
            <w:tcW w:type="dxa" w:w="4273"/>
            <w:tcBorders>
              <w:top w:val="nil"/>
              <w:left w:val="nil"/>
              <w:bottom w:val="single" w:color="D9D9D9" w:sz="4"/>
              <w:right w:val="nil"/>
            </w:tcBorders>
            <w:tcMar>
              <w:top w:type="dxa" w:w="70"/>
              <w:left w:type="dxa" w:w="100"/>
              <w:bottom w:type="dxa" w:w="70"/>
              <w:right w:type="dxa" w:w="100"/>
            </w:tcMar>
          </w:tcPr>
          <w:p>
            <w:pPr>
              <w:keepNext/>
              <w:jc w:val="left"/>
            </w:pPr>
            <w:r>
              <w:rPr>
                <w:rFonts w:ascii="Calibri" w:cs="Calibri" w:eastAsia="Calibri" w:hAnsi="Calibri"/>
                <w:color w:val="1A1A1A"/>
                <w:sz w:val="19"/>
                <w:szCs w:val="19"/>
              </w:rPr>
              <w:t xml:space="preserve">Modelled across $1.5M to $9M. This is the widest material unknown in the workup</w:t>
            </w:r>
          </w:p>
        </w:tc>
      </w:tr>
    </w:tbl>
    <w:p>
      <w:pPr>
        <w:spacing w:after="220" w:before="70"/>
      </w:pPr>
      <w:r>
        <w:rPr>
          <w:rFonts w:ascii="Calibri" w:cs="Calibri" w:eastAsia="Calibri" w:hAnsi="Calibri"/>
          <w:i/>
          <w:iCs/>
          <w:color w:val="5A5A5A"/>
          <w:sz w:val="16"/>
          <w:szCs w:val="16"/>
        </w:rPr>
        <w:t xml:space="preserve">Source: public records as cited. As of 16 September 2026.</w:t>
      </w:r>
    </w:p>
    <w:p>
      <w:pPr>
        <w:spacing w:after="140" w:line="276"/>
      </w:pPr>
      <w:r>
        <w:rPr>
          <w:rFonts w:ascii="Calibri" w:cs="Calibri" w:eastAsia="Calibri" w:hAnsi="Calibri"/>
          <w:b/>
          <w:bCs/>
          <w:color w:val="1A1A1A"/>
          <w:sz w:val="21"/>
          <w:szCs w:val="21"/>
        </w:rPr>
        <w:t xml:space="preserve">Model</w:t>
      </w:r>
      <w:r>
        <w:rPr>
          <w:rFonts w:ascii="Calibri" w:cs="Calibri" w:eastAsia="Calibri" w:hAnsi="Calibri"/>
          <w:color w:val="1A1A1A"/>
          <w:sz w:val="21"/>
          <w:szCs w:val="21"/>
        </w:rPr>
        <w:t xml:space="preserve"> — </w:t>
      </w:r>
      <w:r>
        <w:rPr>
          <w:rFonts w:ascii="Calibri" w:cs="Calibri" w:eastAsia="Calibri" w:hAnsi="Calibri"/>
          <w:b/>
          <w:bCs/>
          <w:color w:val="1F3A5F"/>
          <w:sz w:val="21"/>
          <w:szCs w:val="21"/>
        </w:rPr>
        <w:t xml:space="preserve">model.xlsx</w:t>
      </w:r>
      <w:r>
        <w:rPr>
          <w:rFonts w:ascii="Calibri" w:cs="Calibri" w:eastAsia="Calibri" w:hAnsi="Calibri"/>
          <w:color w:val="1A1A1A"/>
          <w:sz w:val="21"/>
          <w:szCs w:val="21"/>
        </w:rPr>
        <w:t xml:space="preserve">, five years, 23 drivers and 39 line items. It runs the pipeline explicitly — design-stage clients, the share that sign, the lag to delivery — then splits revenue into the two products, which price completely differently: ADUs at a contract value, custom rebuilds at a rate per square foot. Operating expense is built from headcount rather than a growth rate, and split by geography, because roughly two thirds of the team sits in Belgrade and that is the fact that makes the burn survivable. Working capital is carried as days of revenue, since a fixed-price builder pays materials and subcontractors long before the final draw.</w:t>
      </w:r>
    </w:p>
    <w:p>
      <w:pPr>
        <w:spacing w:after="140" w:line="276"/>
      </w:pPr>
      <w:r>
        <w:rPr>
          <w:rFonts w:ascii="Calibri" w:cs="Calibri" w:eastAsia="Calibri" w:hAnsi="Calibri"/>
          <w:b/>
          <w:bCs/>
          <w:color w:val="1A1A1A"/>
          <w:sz w:val="21"/>
          <w:szCs w:val="21"/>
        </w:rPr>
        <w:t xml:space="preserve">It does not cover financing, taxes or dilution.</w:t>
      </w:r>
      <w:r>
        <w:rPr>
          <w:rFonts w:ascii="Calibri" w:cs="Calibri" w:eastAsia="Calibri" w:hAnsi="Calibri"/>
          <w:color w:val="1A1A1A"/>
          <w:sz w:val="21"/>
          <w:szCs w:val="21"/>
        </w:rPr>
        <w:t xml:space="preserve"> Closing cash below zero is the cumulative amount that must be raised, not a balance. Scenarios are coherent rather than one-driver-at-a-time: in the bear case the company shrinks, because a builder losing money on two houses a year does not go on hiring.</w:t>
      </w:r>
    </w:p>
    <w:p>
      <w:pPr>
        <w:spacing w:after="140" w:line="276"/>
      </w:pPr>
      <w:r>
        <w:rPr>
          <w:rFonts w:ascii="Calibri" w:cs="Calibri" w:eastAsia="Calibri" w:hAnsi="Calibri"/>
          <w:b/>
          <w:bCs/>
          <w:color w:val="1A1A1A"/>
          <w:sz w:val="21"/>
          <w:szCs w:val="21"/>
        </w:rPr>
        <w:t xml:space="preserve">Returns at a hypothetical price</w:t>
      </w:r>
      <w:r>
        <w:rPr>
          <w:rFonts w:ascii="Calibri" w:cs="Calibri" w:eastAsia="Calibri" w:hAnsi="Calibri"/>
          <w:color w:val="1A1A1A"/>
          <w:sz w:val="21"/>
          <w:szCs w:val="21"/>
        </w:rPr>
        <w:t xml:space="preserve"> — No round terms are public [filing · V], so the Returns sheet prices an entry rather than reporting one. Take a $2M cheque at a $20M pre-money: 9.1% at entry, diluting to about 5.5% by exit after two further rounds. On the base case the company is doing $14.9M of revenue in 2030; at 1.2x revenue — a builder's multiple, and an assumed one — that is an enterprise value of $17.8M, which makes the stake worth </w:t>
      </w:r>
      <w:r>
        <w:rPr>
          <w:rFonts w:ascii="Calibri" w:cs="Calibri" w:eastAsia="Calibri" w:hAnsi="Calibri"/>
          <w:b/>
          <w:bCs/>
          <w:color w:val="1A1A1A"/>
          <w:sz w:val="21"/>
          <w:szCs w:val="21"/>
        </w:rPr>
        <w:t xml:space="preserve">$986,000 against a $2M cheque</w:t>
      </w:r>
      <w:r>
        <w:rPr>
          <w:rFonts w:ascii="Calibri" w:cs="Calibri" w:eastAsia="Calibri" w:hAnsi="Calibri"/>
          <w:color w:val="1A1A1A"/>
          <w:sz w:val="21"/>
          <w:szCs w:val="21"/>
        </w:rPr>
        <w:t xml:space="preserve">. The investment returns at 1.0x, and only because the liquidation preference pays it back. The equity itself is worth less than half the money in.</w:t>
      </w:r>
    </w:p>
    <w:p>
      <w:pPr>
        <w:spacing w:after="140" w:line="276"/>
      </w:pPr>
      <w:r>
        <w:rPr>
          <w:rFonts w:ascii="Calibri" w:cs="Calibri" w:eastAsia="Calibri" w:hAnsi="Calibri"/>
          <w:color w:val="1A1A1A"/>
          <w:sz w:val="21"/>
          <w:szCs w:val="21"/>
        </w:rPr>
        <w:t xml:space="preserve">For that cheque to return 3x, the company would need to exit at roughly </w:t>
      </w:r>
      <w:r>
        <w:rPr>
          <w:rFonts w:ascii="Calibri" w:cs="Calibri" w:eastAsia="Calibri" w:hAnsi="Calibri"/>
          <w:b/>
          <w:bCs/>
          <w:color w:val="1A1A1A"/>
          <w:sz w:val="21"/>
          <w:szCs w:val="21"/>
        </w:rPr>
        <w:t xml:space="preserve">7.3x revenue</w:t>
      </w:r>
      <w:r>
        <w:rPr>
          <w:rFonts w:ascii="Calibri" w:cs="Calibri" w:eastAsia="Calibri" w:hAnsi="Calibri"/>
          <w:color w:val="1A1A1A"/>
          <w:sz w:val="21"/>
          <w:szCs w:val="21"/>
        </w:rPr>
        <w:t xml:space="preserve"> — a software multiple applied to a construction business, which is the standard way this analysis goes wrong — or deliver about </w:t>
      </w:r>
      <w:r>
        <w:rPr>
          <w:rFonts w:ascii="Calibri" w:cs="Calibri" w:eastAsia="Calibri" w:hAnsi="Calibri"/>
          <w:b/>
          <w:bCs/>
          <w:color w:val="1A1A1A"/>
          <w:sz w:val="21"/>
          <w:szCs w:val="21"/>
        </w:rPr>
        <w:t xml:space="preserve">six times</w:t>
      </w:r>
      <w:r>
        <w:rPr>
          <w:rFonts w:ascii="Calibri" w:cs="Calibri" w:eastAsia="Calibri" w:hAnsi="Calibri"/>
          <w:color w:val="1A1A1A"/>
          <w:sz w:val="21"/>
          <w:szCs w:val="21"/>
        </w:rPr>
        <w:t xml:space="preserve"> the base-case revenue. Set against the four confirmed failures in this category, whose assets sold for a small fraction of the capital raised [filing · V], neither is a comfortable thing to underwrite.</w:t>
      </w:r>
    </w:p>
    <w:p>
      <w:pPr>
        <w:spacing w:after="140" w:line="276"/>
      </w:pPr>
      <w:r>
        <w:rPr>
          <w:rFonts w:ascii="Calibri" w:cs="Calibri" w:eastAsia="Calibri" w:hAnsi="Calibri"/>
          <w:b/>
          <w:bCs/>
          <w:color w:val="1A1A1A"/>
          <w:sz w:val="21"/>
          <w:szCs w:val="21"/>
        </w:rPr>
        <w:t xml:space="preserve">Unit economics</w:t>
      </w:r>
      <w:r>
        <w:rPr>
          <w:rFonts w:ascii="Calibri" w:cs="Calibri" w:eastAsia="Calibri" w:hAnsi="Calibri"/>
          <w:color w:val="1A1A1A"/>
          <w:sz w:val="21"/>
          <w:szCs w:val="21"/>
        </w:rPr>
        <w:t xml:space="preserve"> — The cost side is entirely undisclosed, so what follows is the model's arithmetic on assumed margins, not observed results. At base assumptions a delivered home produces about $152,000 of gross profit and consumes about $113,000 of the US field and project staff needed to run it, leaving roughly </w:t>
      </w:r>
      <w:r>
        <w:rPr>
          <w:rFonts w:ascii="Calibri" w:cs="Calibri" w:eastAsia="Calibri" w:hAnsi="Calibri"/>
          <w:b/>
          <w:bCs/>
          <w:color w:val="1A1A1A"/>
          <w:sz w:val="21"/>
          <w:szCs w:val="21"/>
        </w:rPr>
        <w:t xml:space="preserve">$39,000 of contribution</w:t>
      </w:r>
      <w:r>
        <w:rPr>
          <w:rFonts w:ascii="Calibri" w:cs="Calibri" w:eastAsia="Calibri" w:hAnsi="Calibri"/>
          <w:color w:val="1A1A1A"/>
          <w:sz w:val="21"/>
          <w:szCs w:val="21"/>
        </w:rPr>
        <w:t xml:space="preserve"> against fixed overhead of about $3.4M. That implies a break-even of roughly </w:t>
      </w:r>
      <w:r>
        <w:rPr>
          <w:rFonts w:ascii="Calibri" w:cs="Calibri" w:eastAsia="Calibri" w:hAnsi="Calibri"/>
          <w:b/>
          <w:bCs/>
          <w:color w:val="1A1A1A"/>
          <w:sz w:val="21"/>
          <w:szCs w:val="21"/>
        </w:rPr>
        <w:t xml:space="preserve">86 homes a year</w:t>
      </w:r>
      <w:r>
        <w:rPr>
          <w:rFonts w:ascii="Calibri" w:cs="Calibri" w:eastAsia="Calibri" w:hAnsi="Calibri"/>
          <w:color w:val="1A1A1A"/>
          <w:sz w:val="21"/>
          <w:szCs w:val="21"/>
        </w:rPr>
        <w:t xml:space="preserve">. The company's own public goal is 100 homes by 2027 — which means its stated target is approximately its break-even point, not a profit plan. The base case reaches 17 homes in 2030.</w:t>
      </w:r>
    </w:p>
    <w:p>
      <w:pPr>
        <w:spacing w:after="140" w:line="276"/>
      </w:pPr>
      <w:r>
        <w:rPr>
          <w:rFonts w:ascii="Calibri" w:cs="Calibri" w:eastAsia="Calibri" w:hAnsi="Calibri"/>
          <w:color w:val="1A1A1A"/>
          <w:sz w:val="21"/>
          <w:szCs w:val="21"/>
        </w:rPr>
        <w:t xml:space="preserve">On price: at $279,000 for 380 sq ft the smallest unit prices at $734 per square foot, at the upper end of the $650–850 range Palisades homeowners report being quoted by conventional builders, and well above the roughly $284 a typical Los Angeles ADU costs. The custom range of $550–700 sits below the local custom band but above a site-built competitor publishing $391 in the same postcode. Neither line is priced as the cheap option.</w:t>
      </w:r>
    </w:p>
    <w:p>
      <w:pPr>
        <w:keepNext/>
        <w:keepLines/>
        <w:spacing w:after="140" w:before="340"/>
      </w:pPr>
      <w:r>
        <w:rPr>
          <w:rFonts w:ascii="Cambria" w:cs="Cambria" w:eastAsia="Cambria" w:hAnsi="Cambria"/>
          <w:b/>
          <w:bCs/>
          <w:color w:val="1F3A5F"/>
          <w:sz w:val="27"/>
          <w:szCs w:val="27"/>
        </w:rPr>
        <w:t xml:space="preserve">6. Evidence log</w:t>
      </w:r>
    </w:p>
    <w:p>
      <w:pPr>
        <w:spacing w:after="140" w:line="276"/>
      </w:pPr>
      <w:r>
        <w:rPr>
          <w:rFonts w:ascii="Calibri" w:cs="Calibri" w:eastAsia="Calibri" w:hAnsi="Calibri"/>
          <w:color w:val="1A1A1A"/>
          <w:sz w:val="21"/>
          <w:szCs w:val="21"/>
        </w:rPr>
        <w:t xml:space="preserve">Grade is independence, not derivation: </w:t>
      </w:r>
      <w:r>
        <w:rPr>
          <w:rFonts w:ascii="Calibri" w:cs="Calibri" w:eastAsia="Calibri" w:hAnsi="Calibri"/>
          <w:b/>
          <w:bCs/>
          <w:color w:val="1F3A5F"/>
          <w:sz w:val="21"/>
          <w:szCs w:val="21"/>
        </w:rPr>
        <w:t xml:space="preserve">C</w:t>
      </w:r>
      <w:r>
        <w:rPr>
          <w:rFonts w:ascii="Calibri" w:cs="Calibri" w:eastAsia="Calibri" w:hAnsi="Calibri"/>
          <w:color w:val="1A1A1A"/>
          <w:sz w:val="21"/>
          <w:szCs w:val="21"/>
        </w:rPr>
        <w:t xml:space="preserve"> the subject is the source, </w:t>
      </w:r>
      <w:r>
        <w:rPr>
          <w:rFonts w:ascii="Calibri" w:cs="Calibri" w:eastAsia="Calibri" w:hAnsi="Calibri"/>
          <w:b/>
          <w:bCs/>
          <w:color w:val="1F3A5F"/>
          <w:sz w:val="21"/>
          <w:szCs w:val="21"/>
        </w:rPr>
        <w:t xml:space="preserve">R</w:t>
      </w:r>
      <w:r>
        <w:rPr>
          <w:rFonts w:ascii="Calibri" w:cs="Calibri" w:eastAsia="Calibri" w:hAnsi="Calibri"/>
          <w:color w:val="1A1A1A"/>
          <w:sz w:val="21"/>
          <w:szCs w:val="21"/>
        </w:rPr>
        <w:t xml:space="preserve"> corroborated but not independent of it, </w:t>
      </w:r>
      <w:r>
        <w:rPr>
          <w:rFonts w:ascii="Calibri" w:cs="Calibri" w:eastAsia="Calibri" w:hAnsi="Calibri"/>
          <w:b/>
          <w:bCs/>
          <w:color w:val="1F3A5F"/>
          <w:sz w:val="21"/>
          <w:szCs w:val="21"/>
        </w:rPr>
        <w:t xml:space="preserve">V</w:t>
      </w:r>
      <w:r>
        <w:rPr>
          <w:rFonts w:ascii="Calibri" w:cs="Calibri" w:eastAsia="Calibri" w:hAnsi="Calibri"/>
          <w:color w:val="1A1A1A"/>
          <w:sz w:val="21"/>
          <w:szCs w:val="21"/>
        </w:rPr>
        <w:t xml:space="preserve"> a source with no stake that would say so if the claim were false.</w:t>
      </w:r>
    </w:p>
    <w:p>
      <w:pPr>
        <w:keepNext/>
        <w:spacing w:after="90" w:before="200"/>
      </w:pPr>
      <w:r>
        <w:rPr>
          <w:rFonts w:ascii="Calibri" w:cs="Calibri" w:eastAsia="Calibri" w:hAnsi="Calibri"/>
          <w:b/>
          <w:bCs/>
          <w:color w:val="1F3A5F"/>
          <w:sz w:val="19"/>
          <w:szCs w:val="19"/>
        </w:rPr>
        <w:t xml:space="preserve">Exhibit 9</w:t>
      </w:r>
      <w:r>
        <w:rPr>
          <w:rFonts w:ascii="Calibri" w:cs="Calibri" w:eastAsia="Calibri" w:hAnsi="Calibri"/>
          <w:b/>
          <w:bCs/>
          <w:color w:val="1A1A1A"/>
          <w:sz w:val="19"/>
          <w:szCs w:val="19"/>
        </w:rPr>
        <w:t xml:space="preserve">  —  Evidence log</w:t>
      </w:r>
    </w:p>
    <w:tbl>
      <w:tblPr>
        <w:tblW w:type="dxa" w:w="9360"/>
        <w:tblBorders>
          <w:top w:val="nil"/>
          <w:left w:val="nil"/>
          <w:bottom w:val="single" w:color="1F3A5F" w:sz="8"/>
          <w:right w:val="nil"/>
          <w:insideH w:val="nil"/>
          <w:insideV w:val="nil"/>
        </w:tblBorders>
      </w:tblPr>
      <w:tblGrid>
        <w:gridCol w:w="1936"/>
        <w:gridCol w:w="1450"/>
        <w:gridCol w:w="1450"/>
        <w:gridCol w:w="3074"/>
        <w:gridCol w:w="1450"/>
      </w:tblGrid>
      <w:tr>
        <w:trPr>
          <w:cantSplit/>
          <w:tblHeader/>
        </w:trPr>
        <w:tc>
          <w:tcPr>
            <w:tcW w:type="dxa" w:w="1936"/>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Claim</w:t>
            </w:r>
          </w:p>
        </w:tc>
        <w:tc>
          <w:tcPr>
            <w:tcW w:type="dxa" w:w="145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Tag</w:t>
            </w:r>
          </w:p>
        </w:tc>
        <w:tc>
          <w:tcPr>
            <w:tcW w:type="dxa" w:w="145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Grade</w:t>
            </w:r>
          </w:p>
        </w:tc>
        <w:tc>
          <w:tcPr>
            <w:tcW w:type="dxa" w:w="3074"/>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Source</w:t>
            </w:r>
          </w:p>
        </w:tc>
        <w:tc>
          <w:tcPr>
            <w:tcW w:type="dxa" w:w="145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Accessed</w:t>
            </w:r>
          </w:p>
        </w:tc>
      </w:tr>
      <w:tr>
        <w:trPr>
          <w:cantSplit/>
        </w:trPr>
        <w:tc>
          <w:tcPr>
            <w:tcW w:type="dxa" w:w="1936"/>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Three ADU models at $279k / $359k / $419k for 380 / 570 / 720 sq ft</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company-stated</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w:t>
            </w:r>
          </w:p>
        </w:tc>
        <w:tc>
          <w:tcPr>
            <w:tcW w:type="dxa" w:w="307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cosmicbuildings.com/tech-specs</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2026-09-16</w:t>
            </w:r>
          </w:p>
        </w:tc>
      </w:tr>
      <w:tr>
        <w:trPr>
          <w:cantSplit/>
        </w:trPr>
        <w:tc>
          <w:tcPr>
            <w:tcW w:type="dxa" w:w="1936"/>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Model areas shrank while headline prices held, 2024→2026</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inference</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w:t>
            </w:r>
          </w:p>
        </w:tc>
        <w:tc>
          <w:tcPr>
            <w:tcW w:type="dxa" w:w="307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Dezeen 2024-07-05 vs current /tech-specs</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2026-09-16</w:t>
            </w:r>
          </w:p>
        </w:tc>
      </w:tr>
      <w:tr>
        <w:trPr>
          <w:cantSplit/>
        </w:trPr>
        <w:tc>
          <w:tcPr>
            <w:tcW w:type="dxa" w:w="1936"/>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Custom rebuilds $550–700/sq ft</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company-stated</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w:t>
            </w:r>
          </w:p>
        </w:tc>
        <w:tc>
          <w:tcPr>
            <w:tcW w:type="dxa" w:w="307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LA Business Journal; Metropolis</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2026-09-16</w:t>
            </w:r>
          </w:p>
        </w:tc>
      </w:tr>
      <w:tr>
        <w:trPr>
          <w:cantSplit/>
        </w:trPr>
        <w:tc>
          <w:tcPr>
            <w:tcW w:type="dxa" w:w="1936"/>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LA projects coming in at $600–700/sq ft</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press</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R</w:t>
            </w:r>
          </w:p>
        </w:tc>
        <w:tc>
          <w:tcPr>
            <w:tcW w:type="dxa" w:w="307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Homes.com, reporter on site</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2026-09-16</w:t>
            </w:r>
          </w:p>
        </w:tc>
      </w:tr>
      <w:tr>
        <w:trPr>
          <w:cantSplit/>
        </w:trPr>
        <w:tc>
          <w:tcPr>
            <w:tcW w:type="dxa" w:w="1936"/>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Competing Palisades builder quotes $650–850/sq ft</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press</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R</w:t>
            </w:r>
          </w:p>
        </w:tc>
        <w:tc>
          <w:tcPr>
            <w:tcW w:type="dxa" w:w="307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Pali Builds resident database, via Homes.com</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2026-09-16</w:t>
            </w:r>
          </w:p>
        </w:tc>
      </w:tr>
      <w:tr>
        <w:trPr>
          <w:cantSplit/>
        </w:trPr>
        <w:tc>
          <w:tcPr>
            <w:tcW w:type="dxa" w:w="1936"/>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Two ADUs completed; one serves as the Palisades base</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press</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R</w:t>
            </w:r>
          </w:p>
        </w:tc>
        <w:tc>
          <w:tcPr>
            <w:tcW w:type="dxa" w:w="307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Homes.com, own photography</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2026-09-16</w:t>
            </w:r>
          </w:p>
        </w:tc>
      </w:tr>
      <w:tr>
        <w:trPr>
          <w:cantSplit/>
        </w:trPr>
        <w:tc>
          <w:tcPr>
            <w:tcW w:type="dxa" w:w="1936"/>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One single-family home about one third built, Santa Rosa</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press</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R</w:t>
            </w:r>
          </w:p>
        </w:tc>
        <w:tc>
          <w:tcPr>
            <w:tcW w:type="dxa" w:w="307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CBS San Francisco</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2026-09-16</w:t>
            </w:r>
          </w:p>
        </w:tc>
      </w:tr>
      <w:tr>
        <w:trPr>
          <w:cantSplit/>
        </w:trPr>
        <w:tc>
          <w:tcPr>
            <w:tcW w:type="dxa" w:w="1936"/>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First two homes "expected to be completed by the end of the year" (Aug 2025)</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press</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R</w:t>
            </w:r>
          </w:p>
        </w:tc>
        <w:tc>
          <w:tcPr>
            <w:tcW w:type="dxa" w:w="307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ABC7 Los Angeles</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2026-09-16</w:t>
            </w:r>
          </w:p>
        </w:tc>
      </w:tr>
      <w:tr>
        <w:trPr>
          <w:cantSplit/>
        </w:trPr>
        <w:tc>
          <w:tcPr>
            <w:tcW w:type="dxa" w:w="1936"/>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~40 clients in design or permitting</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company-stated</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w:t>
            </w:r>
          </w:p>
        </w:tc>
        <w:tc>
          <w:tcPr>
            <w:tcW w:type="dxa" w:w="307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Metropolis</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2026-09-16</w:t>
            </w:r>
          </w:p>
        </w:tc>
      </w:tr>
      <w:tr>
        <w:trPr>
          <w:cantSplit/>
        </w:trPr>
        <w:tc>
          <w:tcPr>
            <w:tcW w:type="dxa" w:w="1936"/>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48 in design, 12 contracts signed (Aug 2025)</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company-stated</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w:t>
            </w:r>
          </w:p>
        </w:tc>
        <w:tc>
          <w:tcPr>
            <w:tcW w:type="dxa" w:w="307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LA Business Journal</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2026-09-16</w:t>
            </w:r>
          </w:p>
        </w:tc>
      </w:tr>
      <w:tr>
        <w:trPr>
          <w:cantSplit/>
        </w:trPr>
        <w:tc>
          <w:tcPr>
            <w:tcW w:type="dxa" w:w="1936"/>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"26 commissioned homes across the US and Europe", $50M pipeline (May 2025)</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company-stated</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w:t>
            </w:r>
          </w:p>
        </w:tc>
        <w:tc>
          <w:tcPr>
            <w:tcW w:type="dxa" w:w="307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Katapult accelerator company page</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2026-09-16</w:t>
            </w:r>
          </w:p>
        </w:tc>
      </w:tr>
      <w:tr>
        <w:trPr>
          <w:cantSplit/>
        </w:trPr>
        <w:tc>
          <w:tcPr>
            <w:tcW w:type="dxa" w:w="1936"/>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45 free concept designs across four fire zones</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observed</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V</w:t>
            </w:r>
          </w:p>
        </w:tc>
        <w:tc>
          <w:tcPr>
            <w:tcW w:type="dxa" w:w="307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palisades.cosmicbuildings.com, counted in-browser</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2026-09-16</w:t>
            </w:r>
          </w:p>
        </w:tc>
      </w:tr>
      <w:tr>
        <w:trPr>
          <w:cantSplit/>
        </w:trPr>
        <w:tc>
          <w:tcPr>
            <w:tcW w:type="dxa" w:w="1936"/>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Hidden "12 commissioned / 88 available" block, not rendered to visitors</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inference</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w:t>
            </w:r>
          </w:p>
        </w:tc>
        <w:tc>
          <w:tcPr>
            <w:tcW w:type="dxa" w:w="307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cosmicbuildings.com/how-it-works, DOM inspected</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2026-09-16</w:t>
            </w:r>
          </w:p>
        </w:tc>
      </w:tr>
      <w:tr>
        <w:trPr>
          <w:cantSplit/>
        </w:trPr>
        <w:tc>
          <w:tcPr>
            <w:tcW w:type="dxa" w:w="1936"/>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ABB IRB 6710 arms and RobotStudio</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press</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R</w:t>
            </w:r>
          </w:p>
        </w:tc>
        <w:tc>
          <w:tcPr>
            <w:tcW w:type="dxa" w:w="307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Joint ABB/Cosmic release</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2026-09-16</w:t>
            </w:r>
          </w:p>
        </w:tc>
      </w:tr>
      <w:tr>
        <w:trPr>
          <w:cantSplit/>
        </w:trPr>
        <w:tc>
          <w:tcPr>
            <w:tcW w:type="dxa" w:w="1936"/>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100 homes per microfactory per year</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company-stated</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w:t>
            </w:r>
          </w:p>
        </w:tc>
        <w:tc>
          <w:tcPr>
            <w:tcW w:type="dxa" w:w="307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LA Business Journal</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2026-09-16</w:t>
            </w:r>
          </w:p>
        </w:tc>
      </w:tr>
      <w:tr>
        <w:trPr>
          <w:cantSplit/>
        </w:trPr>
        <w:tc>
          <w:tcPr>
            <w:tcW w:type="dxa" w:w="1936"/>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b/>
                <w:bCs/>
                <w:color w:val="B04A3F"/>
                <w:sz w:val="21"/>
                <w:szCs w:val="21"/>
              </w:rPr>
              <w:t xml:space="preserve">No Form D; no EDGAR registrant</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filing</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V</w:t>
            </w:r>
          </w:p>
        </w:tc>
        <w:tc>
          <w:tcPr>
            <w:tcW w:type="dxa" w:w="307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SEC EDGAR full-text and company search</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2026-09-16</w:t>
            </w:r>
          </w:p>
        </w:tc>
      </w:tr>
      <w:tr>
        <w:trPr>
          <w:cantSplit/>
        </w:trPr>
        <w:tc>
          <w:tcPr>
            <w:tcW w:type="dxa" w:w="1936"/>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b/>
                <w:bCs/>
                <w:color w:val="B04A3F"/>
                <w:sz w:val="21"/>
                <w:szCs w:val="21"/>
              </w:rPr>
              <w:t xml:space="preserve">No CSLB licence under the company or founder name</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filing</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V</w:t>
            </w:r>
          </w:p>
        </w:tc>
        <w:tc>
          <w:tcPr>
            <w:tcW w:type="dxa" w:w="307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CSLB Check a License, business and personnel searches</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2026-09-16</w:t>
            </w:r>
          </w:p>
        </w:tc>
      </w:tr>
      <w:tr>
        <w:trPr>
          <w:cantSplit/>
        </w:trPr>
        <w:tc>
          <w:tcPr>
            <w:tcW w:type="dxa" w:w="1936"/>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"Cosmic is a licensed General Contractor in California"</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company-stated</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w:t>
            </w:r>
          </w:p>
        </w:tc>
        <w:tc>
          <w:tcPr>
            <w:tcW w:type="dxa" w:w="307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cosmicbuildings.com/faqs</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2026-09-16</w:t>
            </w:r>
          </w:p>
        </w:tc>
      </w:tr>
      <w:tr>
        <w:trPr>
          <w:cantSplit/>
        </w:trPr>
        <w:tc>
          <w:tcPr>
            <w:tcW w:type="dxa" w:w="1936"/>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b/>
                <w:bCs/>
                <w:color w:val="B04A3F"/>
                <w:sz w:val="21"/>
                <w:szCs w:val="21"/>
              </w:rPr>
              <w:t xml:space="preserve">No patents found, company or founder</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patent</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V</w:t>
            </w:r>
          </w:p>
        </w:tc>
        <w:tc>
          <w:tcPr>
            <w:tcW w:type="dxa" w:w="307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Google Patents, assignee and inventor searches</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2026-09-16</w:t>
            </w:r>
          </w:p>
        </w:tc>
      </w:tr>
      <w:tr>
        <w:trPr>
          <w:cantSplit/>
        </w:trPr>
        <w:tc>
          <w:tcPr>
            <w:tcW w:type="dxa" w:w="1936"/>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Prior company Formdwell (2017), backed by Village Global and Autodesk</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company-stated</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w:t>
            </w:r>
          </w:p>
        </w:tc>
        <w:tc>
          <w:tcPr>
            <w:tcW w:type="dxa" w:w="307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Founder's archived biography</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2026-09-16</w:t>
            </w:r>
          </w:p>
        </w:tc>
      </w:tr>
      <w:tr>
        <w:trPr>
          <w:cantSplit/>
        </w:trPr>
        <w:tc>
          <w:tcPr>
            <w:tcW w:type="dxa" w:w="1936"/>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formdwell.com still live as a stub carrying the same pitch</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observed</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V</w:t>
            </w:r>
          </w:p>
        </w:tc>
        <w:tc>
          <w:tcPr>
            <w:tcW w:type="dxa" w:w="307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formdwell.com</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2026-09-16</w:t>
            </w:r>
          </w:p>
        </w:tc>
      </w:tr>
      <w:tr>
        <w:trPr>
          <w:cantSplit/>
        </w:trPr>
        <w:tc>
          <w:tcPr>
            <w:tcW w:type="dxa" w:w="1936"/>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30 LinkedIn profiles vs a self-declared "2–10" band</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observed</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V</w:t>
            </w:r>
          </w:p>
        </w:tc>
        <w:tc>
          <w:tcPr>
            <w:tcW w:type="dxa" w:w="307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LinkedIn company page markup</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2026-09-16</w:t>
            </w:r>
          </w:p>
        </w:tc>
      </w:tr>
      <w:tr>
        <w:trPr>
          <w:cantSplit/>
        </w:trPr>
        <w:tc>
          <w:tcPr>
            <w:tcW w:type="dxa" w:w="1936"/>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Three open roles, all Belgrade</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observed</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V</w:t>
            </w:r>
          </w:p>
        </w:tc>
        <w:tc>
          <w:tcPr>
            <w:tcW w:type="dxa" w:w="307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cosmicbuildings.com/careers</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2026-09-16</w:t>
            </w:r>
          </w:p>
        </w:tc>
      </w:tr>
      <w:tr>
        <w:trPr>
          <w:cantSplit/>
        </w:trPr>
        <w:tc>
          <w:tcPr>
            <w:tcW w:type="dxa" w:w="1936"/>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Serbian entity active since 2023-02-17, six employees</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filing</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V</w:t>
            </w:r>
          </w:p>
        </w:tc>
        <w:tc>
          <w:tcPr>
            <w:tcW w:type="dxa" w:w="307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Serbian business register</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2026-09-16</w:t>
            </w:r>
          </w:p>
        </w:tc>
      </w:tr>
      <w:tr>
        <w:trPr>
          <w:cantSplit/>
        </w:trPr>
        <w:tc>
          <w:tcPr>
            <w:tcW w:type="dxa" w:w="1936"/>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$1.5M pre-seed, 2024-03-20, four named funds</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press</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R</w:t>
            </w:r>
          </w:p>
        </w:tc>
        <w:tc>
          <w:tcPr>
            <w:tcW w:type="dxa" w:w="307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Contemporaneous press; CB Insights</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2026-09-16</w:t>
            </w:r>
          </w:p>
        </w:tc>
      </w:tr>
      <w:tr>
        <w:trPr>
          <w:cantSplit/>
        </w:trPr>
        <w:tc>
          <w:tcPr>
            <w:tcW w:type="dxa" w:w="1936"/>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"11M Euros Raised" on the lead investor's page</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company-stated</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w:t>
            </w:r>
          </w:p>
        </w:tc>
        <w:tc>
          <w:tcPr>
            <w:tcW w:type="dxa" w:w="307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fifthquarter.vc</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2026-09-16</w:t>
            </w:r>
          </w:p>
        </w:tc>
      </w:tr>
      <w:tr>
        <w:trPr>
          <w:cantSplit/>
        </w:trPr>
        <w:tc>
          <w:tcPr>
            <w:tcW w:type="dxa" w:w="1936"/>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D.R. Horton FY2025 gross margin 23.7%</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filing</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V</w:t>
            </w:r>
          </w:p>
        </w:tc>
        <w:tc>
          <w:tcPr>
            <w:tcW w:type="dxa" w:w="307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FY2025 10-K via XBRL</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2026-09-16</w:t>
            </w:r>
          </w:p>
        </w:tc>
      </w:tr>
      <w:tr>
        <w:trPr>
          <w:cantSplit/>
        </w:trPr>
        <w:tc>
          <w:tcPr>
            <w:tcW w:type="dxa" w:w="1936"/>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Framing is 16.6% of construction cost; construction is 64.4% of sales price</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press</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R</w:t>
            </w:r>
          </w:p>
        </w:tc>
        <w:tc>
          <w:tcPr>
            <w:tcW w:type="dxa" w:w="307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NAHB Cost of Constructing a Home, 2024 survey</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2026-09-16</w:t>
            </w:r>
          </w:p>
        </w:tc>
      </w:tr>
      <w:tr>
        <w:trPr>
          <w:cantSplit/>
        </w:trPr>
        <w:tc>
          <w:tcPr>
            <w:tcW w:type="dxa" w:w="1936"/>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b/>
                <w:bCs/>
                <w:color w:val="B04A3F"/>
                <w:sz w:val="21"/>
                <w:szCs w:val="21"/>
              </w:rPr>
              <w:t xml:space="preserve">No CSLB licence application pending either</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filing</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V</w:t>
            </w:r>
          </w:p>
        </w:tc>
        <w:tc>
          <w:tcPr>
            <w:tcW w:type="dxa" w:w="307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CSLB pending-application search</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2026-09-16</w:t>
            </w:r>
          </w:p>
        </w:tc>
      </w:tr>
      <w:tr>
        <w:trPr>
          <w:cantSplit/>
        </w:trPr>
        <w:tc>
          <w:tcPr>
            <w:tcW w:type="dxa" w:w="1936"/>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b/>
                <w:bCs/>
                <w:color w:val="B04A3F"/>
                <w:sz w:val="21"/>
                <w:szCs w:val="21"/>
              </w:rPr>
              <w:t xml:space="preserve">No LADBS permit record names Cosmic (with stated coverage limits)</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inference</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w:t>
            </w:r>
          </w:p>
        </w:tc>
        <w:tc>
          <w:tcPr>
            <w:tcW w:type="dxa" w:w="307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data.lacity.org permit datasets</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2026-09-16</w:t>
            </w:r>
          </w:p>
        </w:tc>
      </w:tr>
      <w:tr>
        <w:trPr>
          <w:cantSplit/>
        </w:trPr>
        <w:tc>
          <w:tcPr>
            <w:tcW w:type="dxa" w:w="1936"/>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b/>
                <w:bCs/>
                <w:color w:val="B04A3F"/>
                <w:sz w:val="21"/>
                <w:szCs w:val="21"/>
              </w:rPr>
              <w:t xml:space="preserve">No permit at the Livorno Dr address in 2025 or 2026</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filing</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V</w:t>
            </w:r>
          </w:p>
        </w:tc>
        <w:tc>
          <w:tcPr>
            <w:tcW w:type="dxa" w:w="307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LADBS permit datasets</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2026-09-16</w:t>
            </w:r>
          </w:p>
        </w:tc>
      </w:tr>
      <w:tr>
        <w:trPr>
          <w:cantSplit/>
        </w:trPr>
        <w:tc>
          <w:tcPr>
            <w:tcW w:type="dxa" w:w="1936"/>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Competitor Cover Technologies completed a factory-built Palisades rebuild, CofO March 2026</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filing</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V</w:t>
            </w:r>
          </w:p>
        </w:tc>
        <w:tc>
          <w:tcPr>
            <w:tcW w:type="dxa" w:w="307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LADBS permit 25010-10000-01905 and CSLB licence 1039029</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2026-09-16</w:t>
            </w:r>
          </w:p>
        </w:tc>
      </w:tr>
      <w:tr>
        <w:trPr>
          <w:cantSplit/>
        </w:trPr>
        <w:tc>
          <w:tcPr>
            <w:tcW w:type="dxa" w:w="1936"/>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b/>
                <w:bCs/>
                <w:color w:val="B04A3F"/>
                <w:sz w:val="21"/>
                <w:szCs w:val="21"/>
              </w:rPr>
              <w:t xml:space="preserve">No trademark; no federal contracts; no WARN notice; no federal litigation</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filing</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V</w:t>
            </w:r>
          </w:p>
        </w:tc>
        <w:tc>
          <w:tcPr>
            <w:tcW w:type="dxa" w:w="307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USPTO, USAspending, CA EDD WARN, CourtListener</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2026-09-16</w:t>
            </w:r>
          </w:p>
        </w:tc>
      </w:tr>
      <w:tr>
        <w:trPr>
          <w:cantSplit/>
        </w:trPr>
        <w:tc>
          <w:tcPr>
            <w:tcW w:type="dxa" w:w="1936"/>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32,118 ADUs permitted statewide in 2025; LA County median ADU $197/sq ft in 2021</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filing</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V</w:t>
            </w:r>
          </w:p>
        </w:tc>
        <w:tc>
          <w:tcPr>
            <w:tcW w:type="dxa" w:w="3074"/>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HCD Annual Progress Report microdata; Terner/CCI owner survey</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2026-09-16</w:t>
            </w:r>
          </w:p>
        </w:tc>
      </w:tr>
      <w:tr>
        <w:trPr>
          <w:cantSplit/>
        </w:trPr>
        <w:tc>
          <w:tcPr>
            <w:tcW w:type="dxa" w:w="1936"/>
            <w:tcBorders>
              <w:top w:val="nil"/>
              <w:left w:val="nil"/>
              <w:bottom w:val="single" w:color="D9D9D9" w:sz="4"/>
              <w:right w:val="nil"/>
            </w:tcBorders>
            <w:tcMar>
              <w:top w:type="dxa" w:w="70"/>
              <w:left w:type="dxa" w:w="100"/>
              <w:bottom w:type="dxa" w:w="70"/>
              <w:right w:type="dxa" w:w="100"/>
            </w:tcMar>
          </w:tcPr>
          <w:p>
            <w:pPr>
              <w:keepNext/>
              <w:jc w:val="left"/>
            </w:pPr>
            <w:r>
              <w:rPr>
                <w:rFonts w:ascii="Calibri" w:cs="Calibri" w:eastAsia="Calibri" w:hAnsi="Calibri"/>
                <w:color w:val="1A1A1A"/>
                <w:sz w:val="19"/>
                <w:szCs w:val="19"/>
              </w:rPr>
              <w:t xml:space="preserve">48 certificates of occupancy in the City of LA Palisades rebuild; 192 in unincorporated LA County</w:t>
            </w:r>
          </w:p>
        </w:tc>
        <w:tc>
          <w:tcPr>
            <w:tcW w:type="dxa" w:w="1450"/>
            <w:tcBorders>
              <w:top w:val="nil"/>
              <w:left w:val="nil"/>
              <w:bottom w:val="single" w:color="D9D9D9" w:sz="4"/>
              <w:right w:val="nil"/>
            </w:tcBorders>
            <w:tcMar>
              <w:top w:type="dxa" w:w="70"/>
              <w:left w:type="dxa" w:w="100"/>
              <w:bottom w:type="dxa" w:w="70"/>
              <w:right w:type="dxa" w:w="100"/>
            </w:tcMar>
          </w:tcPr>
          <w:p>
            <w:pPr>
              <w:keepNext/>
              <w:jc w:val="left"/>
            </w:pPr>
            <w:r>
              <w:rPr>
                <w:rFonts w:ascii="Calibri" w:cs="Calibri" w:eastAsia="Calibri" w:hAnsi="Calibri"/>
                <w:color w:val="1A1A1A"/>
                <w:sz w:val="19"/>
                <w:szCs w:val="19"/>
              </w:rPr>
              <w:t xml:space="preserve">filing</w:t>
            </w:r>
          </w:p>
        </w:tc>
        <w:tc>
          <w:tcPr>
            <w:tcW w:type="dxa" w:w="1450"/>
            <w:tcBorders>
              <w:top w:val="nil"/>
              <w:left w:val="nil"/>
              <w:bottom w:val="single" w:color="D9D9D9" w:sz="4"/>
              <w:right w:val="nil"/>
            </w:tcBorders>
            <w:tcMar>
              <w:top w:type="dxa" w:w="70"/>
              <w:left w:type="dxa" w:w="100"/>
              <w:bottom w:type="dxa" w:w="70"/>
              <w:right w:type="dxa" w:w="100"/>
            </w:tcMar>
          </w:tcPr>
          <w:p>
            <w:pPr>
              <w:keepNext/>
              <w:jc w:val="left"/>
            </w:pPr>
            <w:r>
              <w:rPr>
                <w:rFonts w:ascii="Calibri" w:cs="Calibri" w:eastAsia="Calibri" w:hAnsi="Calibri"/>
                <w:color w:val="1A1A1A"/>
                <w:sz w:val="19"/>
                <w:szCs w:val="19"/>
              </w:rPr>
              <w:t xml:space="preserve">V</w:t>
            </w:r>
          </w:p>
        </w:tc>
        <w:tc>
          <w:tcPr>
            <w:tcW w:type="dxa" w:w="3074"/>
            <w:tcBorders>
              <w:top w:val="nil"/>
              <w:left w:val="nil"/>
              <w:bottom w:val="single" w:color="D9D9D9" w:sz="4"/>
              <w:right w:val="nil"/>
            </w:tcBorders>
            <w:tcMar>
              <w:top w:type="dxa" w:w="70"/>
              <w:left w:type="dxa" w:w="100"/>
              <w:bottom w:type="dxa" w:w="70"/>
              <w:right w:type="dxa" w:w="100"/>
            </w:tcMar>
          </w:tcPr>
          <w:p>
            <w:pPr>
              <w:keepNext/>
              <w:jc w:val="left"/>
            </w:pPr>
            <w:r>
              <w:rPr>
                <w:rFonts w:ascii="Calibri" w:cs="Calibri" w:eastAsia="Calibri" w:hAnsi="Calibri"/>
                <w:color w:val="1A1A1A"/>
                <w:sz w:val="19"/>
                <w:szCs w:val="19"/>
              </w:rPr>
              <w:t xml:space="preserve">LADBS and LA County recovery dashboards</w:t>
            </w:r>
          </w:p>
        </w:tc>
        <w:tc>
          <w:tcPr>
            <w:tcW w:type="dxa" w:w="1450"/>
            <w:tcBorders>
              <w:top w:val="nil"/>
              <w:left w:val="nil"/>
              <w:bottom w:val="single" w:color="D9D9D9" w:sz="4"/>
              <w:right w:val="nil"/>
            </w:tcBorders>
            <w:tcMar>
              <w:top w:type="dxa" w:w="70"/>
              <w:left w:type="dxa" w:w="100"/>
              <w:bottom w:type="dxa" w:w="70"/>
              <w:right w:type="dxa" w:w="100"/>
            </w:tcMar>
          </w:tcPr>
          <w:p>
            <w:pPr>
              <w:keepNext/>
              <w:jc w:val="left"/>
            </w:pPr>
            <w:r>
              <w:rPr>
                <w:rFonts w:ascii="Calibri" w:cs="Calibri" w:eastAsia="Calibri" w:hAnsi="Calibri"/>
                <w:color w:val="1A1A1A"/>
                <w:sz w:val="19"/>
                <w:szCs w:val="19"/>
              </w:rPr>
              <w:t xml:space="preserve">2026-09-16</w:t>
            </w:r>
          </w:p>
        </w:tc>
      </w:tr>
    </w:tbl>
    <w:p>
      <w:pPr>
        <w:spacing w:after="220" w:before="70"/>
      </w:pPr>
      <w:r>
        <w:rPr>
          <w:rFonts w:ascii="Calibri" w:cs="Calibri" w:eastAsia="Calibri" w:hAnsi="Calibri"/>
          <w:i/>
          <w:iCs/>
          <w:color w:val="5A5A5A"/>
          <w:sz w:val="16"/>
          <w:szCs w:val="16"/>
        </w:rPr>
        <w:t xml:space="preserve">Source: public records as cited. As of 16 September 2026.</w:t>
      </w:r>
    </w:p>
    <w:p>
      <w:pPr>
        <w:keepNext/>
        <w:keepLines/>
        <w:spacing w:after="140" w:before="340"/>
      </w:pPr>
      <w:r>
        <w:rPr>
          <w:rFonts w:ascii="Cambria" w:cs="Cambria" w:eastAsia="Cambria" w:hAnsi="Cambria"/>
          <w:b/>
          <w:bCs/>
          <w:color w:val="1F3A5F"/>
          <w:sz w:val="27"/>
          <w:szCs w:val="27"/>
        </w:rPr>
        <w:t xml:space="preserve">7. Findings register</w:t>
      </w:r>
    </w:p>
    <w:p>
      <w:pPr>
        <w:spacing w:after="140" w:line="276"/>
      </w:pPr>
      <w:r>
        <w:rPr>
          <w:rFonts w:ascii="Calibri" w:cs="Calibri" w:eastAsia="Calibri" w:hAnsi="Calibri"/>
          <w:color w:val="1A1A1A"/>
          <w:sz w:val="21"/>
          <w:szCs w:val="21"/>
        </w:rPr>
        <w:t xml:space="preserve">Every material problem, and what happens as a result. Disposition is the column that matters: a finding that never reaches a document binding somebody has changed nothing. The full register with owners and status is a sheet in </w:t>
      </w:r>
      <w:r>
        <w:rPr>
          <w:rFonts w:ascii="Calibri" w:cs="Calibri" w:eastAsia="Calibri" w:hAnsi="Calibri"/>
          <w:b/>
          <w:bCs/>
          <w:color w:val="1F3A5F"/>
          <w:sz w:val="21"/>
          <w:szCs w:val="21"/>
        </w:rPr>
        <w:t xml:space="preserve">assumptions.xlsx</w:t>
      </w:r>
      <w:r>
        <w:rPr>
          <w:rFonts w:ascii="Calibri" w:cs="Calibri" w:eastAsia="Calibri" w:hAnsi="Calibri"/>
          <w:color w:val="1A1A1A"/>
          <w:sz w:val="21"/>
          <w:szCs w:val="21"/>
        </w:rPr>
        <w:t xml:space="preserve">.</w:t>
      </w:r>
    </w:p>
    <w:p>
      <w:pPr>
        <w:keepNext/>
        <w:spacing w:after="90" w:before="200"/>
      </w:pPr>
      <w:r>
        <w:rPr>
          <w:rFonts w:ascii="Calibri" w:cs="Calibri" w:eastAsia="Calibri" w:hAnsi="Calibri"/>
          <w:b/>
          <w:bCs/>
          <w:color w:val="1F3A5F"/>
          <w:sz w:val="19"/>
          <w:szCs w:val="19"/>
        </w:rPr>
        <w:t xml:space="preserve">Exhibit 10</w:t>
      </w:r>
      <w:r>
        <w:rPr>
          <w:rFonts w:ascii="Calibri" w:cs="Calibri" w:eastAsia="Calibri" w:hAnsi="Calibri"/>
          <w:b/>
          <w:bCs/>
          <w:color w:val="1A1A1A"/>
          <w:sz w:val="19"/>
          <w:szCs w:val="19"/>
        </w:rPr>
        <w:t xml:space="preserve">  —  Findings register</w:t>
      </w:r>
    </w:p>
    <w:tbl>
      <w:tblPr>
        <w:tblW w:type="dxa" w:w="9360"/>
        <w:tblBorders>
          <w:top w:val="nil"/>
          <w:left w:val="nil"/>
          <w:bottom w:val="single" w:color="1F3A5F" w:sz="8"/>
          <w:right w:val="nil"/>
          <w:insideH w:val="nil"/>
          <w:insideV w:val="nil"/>
        </w:tblBorders>
      </w:tblPr>
      <w:tblGrid>
        <w:gridCol w:w="2449"/>
        <w:gridCol w:w="1450"/>
        <w:gridCol w:w="1450"/>
        <w:gridCol w:w="4011"/>
      </w:tblGrid>
      <w:tr>
        <w:trPr>
          <w:cantSplit/>
          <w:tblHeader/>
        </w:trPr>
        <w:tc>
          <w:tcPr>
            <w:tcW w:type="dxa" w:w="2449"/>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Finding</w:t>
            </w:r>
          </w:p>
        </w:tc>
        <w:tc>
          <w:tcPr>
            <w:tcW w:type="dxa" w:w="145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Severity</w:t>
            </w:r>
          </w:p>
        </w:tc>
        <w:tc>
          <w:tcPr>
            <w:tcW w:type="dxa" w:w="145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Evidence</w:t>
            </w:r>
          </w:p>
        </w:tc>
        <w:tc>
          <w:tcPr>
            <w:tcW w:type="dxa" w:w="4011"/>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Disposition</w:t>
            </w:r>
          </w:p>
        </w:tc>
      </w:tr>
      <w:tr>
        <w:trPr>
          <w:cantSplit/>
        </w:trPr>
        <w:tc>
          <w:tcPr>
            <w:tcW w:type="dxa" w:w="2449"/>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b/>
                <w:bCs/>
                <w:color w:val="B04A3F"/>
                <w:sz w:val="21"/>
                <w:szCs w:val="21"/>
              </w:rPr>
              <w:t xml:space="preserve">No California contractor licence findable under the company's name, against a published claim of holding one</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b/>
                <w:bCs/>
                <w:color w:val="B04A3F"/>
                <w:sz w:val="21"/>
                <w:szCs w:val="21"/>
              </w:rPr>
              <w:t xml:space="preserve">critical</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V</w:t>
            </w:r>
          </w:p>
        </w:tc>
        <w:tc>
          <w:tcPr>
            <w:tcW w:type="dxa" w:w="4011"/>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Licence number before any further work. For a fixed-price residential builder, absence is a walk-away trigger, not a negotiation</w:t>
            </w:r>
          </w:p>
        </w:tc>
      </w:tr>
      <w:tr>
        <w:trPr>
          <w:cantSplit/>
        </w:trPr>
        <w:tc>
          <w:tcPr>
            <w:tcW w:type="dxa" w:w="2449"/>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b/>
                <w:bCs/>
                <w:color w:val="B04A3F"/>
                <w:sz w:val="21"/>
                <w:szCs w:val="21"/>
              </w:rPr>
              <w:t xml:space="preserve">No completed single-family home twenty months into the rebuild that created the market</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high</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V</w:t>
            </w:r>
          </w:p>
        </w:tc>
        <w:tc>
          <w:tcPr>
            <w:tcW w:type="dxa" w:w="4011"/>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Condition to investment: one certificate of occupancy with build duration and final cost against contract</w:t>
            </w:r>
          </w:p>
        </w:tc>
      </w:tr>
      <w:tr>
        <w:trPr>
          <w:cantSplit/>
        </w:trPr>
        <w:tc>
          <w:tcPr>
            <w:tcW w:type="dxa" w:w="2449"/>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Pipeline restated four times in four different units, none a completion</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high</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w:t>
            </w:r>
          </w:p>
        </w:tc>
        <w:tc>
          <w:tcPr>
            <w:tcW w:type="dxa" w:w="4011"/>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Diligence request: the contract log, signed date to certificate of occupancy</w:t>
            </w:r>
          </w:p>
        </w:tc>
      </w:tr>
      <w:tr>
        <w:trPr>
          <w:cantSplit/>
        </w:trPr>
        <w:tc>
          <w:tcPr>
            <w:tcW w:type="dxa" w:w="2449"/>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Pricing and margin basis entirely company-stated — 18 of 53 registry rows are </w:t>
            </w:r>
            <w:r>
              <w:rPr>
                <w:rFonts w:ascii="Calibri" w:cs="Calibri" w:eastAsia="Calibri" w:hAnsi="Calibri"/>
                <w:b/>
                <w:bCs/>
                <w:color w:val="1F3A5F"/>
                <w:sz w:val="19"/>
                <w:szCs w:val="19"/>
              </w:rPr>
              <w:t xml:space="preserve">C</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high</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w:t>
            </w:r>
          </w:p>
        </w:tc>
        <w:tc>
          <w:tcPr>
            <w:tcW w:type="dxa" w:w="4011"/>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Obtain the job-cost ledger on the two completed units, or state every model output as conditional on unverified inputs</w:t>
            </w:r>
          </w:p>
        </w:tc>
      </w:tr>
      <w:tr>
        <w:trPr>
          <w:cantSplit/>
        </w:trPr>
        <w:tc>
          <w:tcPr>
            <w:tcW w:type="dxa" w:w="2449"/>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Claimed savings do not reconcile: 80% off framing is ~13% off the house against a 30% headline</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high</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w:t>
            </w:r>
          </w:p>
        </w:tc>
        <w:tc>
          <w:tcPr>
            <w:tcW w:type="dxa" w:w="4011"/>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Ask where the rest comes from. If it is design or permitting time rather than build cost, the pricing claim needs restating</w:t>
            </w:r>
          </w:p>
        </w:tc>
      </w:tr>
      <w:tr>
        <w:trPr>
          <w:cantSplit/>
        </w:trPr>
        <w:tc>
          <w:tcPr>
            <w:tcW w:type="dxa" w:w="2449"/>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The founder's prior company pitched the same mechanism and has no recorded outcome</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medium</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R</w:t>
            </w:r>
          </w:p>
        </w:tc>
        <w:tc>
          <w:tcPr>
            <w:tcW w:type="dxa" w:w="4011"/>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Entity status and wind-down record, and ask the founder directly</w:t>
            </w:r>
          </w:p>
        </w:tc>
      </w:tr>
      <w:tr>
        <w:trPr>
          <w:cantSplit/>
        </w:trPr>
        <w:tc>
          <w:tcPr>
            <w:tcW w:type="dxa" w:w="2449"/>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Lead investor's site shows €11M raised against $1.5M everywhere else</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medium</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R</w:t>
            </w:r>
          </w:p>
        </w:tc>
        <w:tc>
          <w:tcPr>
            <w:tcW w:type="dxa" w:w="4011"/>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Cap table and bank confirmation. Neither figure is usable until reconciled</w:t>
            </w:r>
          </w:p>
        </w:tc>
      </w:tr>
      <w:tr>
        <w:trPr>
          <w:cantSplit/>
        </w:trPr>
        <w:tc>
          <w:tcPr>
            <w:tcW w:type="dxa" w:w="2449"/>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Stated floor areas shrank 2024–2026 while headline prices held</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medium</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w:t>
            </w:r>
          </w:p>
        </w:tc>
        <w:tc>
          <w:tcPr>
            <w:tcW w:type="dxa" w:w="4011"/>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Raise in the pricing discussion: list prices have effectively risen per square foot</w:t>
            </w:r>
          </w:p>
        </w:tc>
      </w:tr>
      <w:tr>
        <w:trPr>
          <w:cantSplit/>
        </w:trPr>
        <w:tc>
          <w:tcPr>
            <w:tcW w:type="dxa" w:w="2449"/>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The exit multiple in the returns sheet is assumed, not sourced</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medium</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C</w:t>
            </w:r>
          </w:p>
        </w:tc>
        <w:tc>
          <w:tcPr>
            <w:tcW w:type="dxa" w:w="4011"/>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Re-derive from live peer data before drawing any returns conclusion</w:t>
            </w:r>
          </w:p>
        </w:tc>
      </w:tr>
      <w:tr>
        <w:trPr>
          <w:cantSplit/>
        </w:trPr>
        <w:tc>
          <w:tcPr>
            <w:tcW w:type="dxa" w:w="2449"/>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b/>
                <w:bCs/>
                <w:color w:val="B04A3F"/>
                <w:sz w:val="21"/>
                <w:szCs w:val="21"/>
              </w:rPr>
              <w:t xml:space="preserve">No Form D for a $1.5M round with US investors</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low</w:t>
            </w:r>
          </w:p>
        </w:tc>
        <w:tc>
          <w:tcPr>
            <w:tcW w:type="dxa" w:w="1450"/>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V</w:t>
            </w:r>
          </w:p>
        </w:tc>
        <w:tc>
          <w:tcPr>
            <w:tcW w:type="dxa" w:w="4011"/>
            <w:tcBorders>
              <w:top w:val="nil"/>
              <w:left w:val="nil"/>
              <w:bottom w:val="single" w:color="D9D9D9" w:sz="4"/>
              <w:right w:val="nil"/>
            </w:tcBorders>
            <w:tcMar>
              <w:top w:type="dxa" w:w="70"/>
              <w:left w:type="dxa" w:w="100"/>
              <w:bottom w:type="dxa" w:w="70"/>
              <w:right w:type="dxa" w:w="100"/>
            </w:tcMar>
          </w:tcPr>
          <w:p>
            <w:pPr>
              <w:keepNext w:val="false"/>
              <w:jc w:val="left"/>
            </w:pPr>
            <w:r>
              <w:rPr>
                <w:rFonts w:ascii="Calibri" w:cs="Calibri" w:eastAsia="Calibri" w:hAnsi="Calibri"/>
                <w:color w:val="1A1A1A"/>
                <w:sz w:val="19"/>
                <w:szCs w:val="19"/>
              </w:rPr>
              <w:t xml:space="preserve">Ask counsel how the round was structured</w:t>
            </w:r>
          </w:p>
        </w:tc>
      </w:tr>
      <w:tr>
        <w:trPr>
          <w:cantSplit/>
        </w:trPr>
        <w:tc>
          <w:tcPr>
            <w:tcW w:type="dxa" w:w="2449"/>
            <w:tcBorders>
              <w:top w:val="nil"/>
              <w:left w:val="nil"/>
              <w:bottom w:val="single" w:color="D9D9D9" w:sz="4"/>
              <w:right w:val="nil"/>
            </w:tcBorders>
            <w:tcMar>
              <w:top w:type="dxa" w:w="70"/>
              <w:left w:type="dxa" w:w="100"/>
              <w:bottom w:type="dxa" w:w="70"/>
              <w:right w:type="dxa" w:w="100"/>
            </w:tcMar>
          </w:tcPr>
          <w:p>
            <w:pPr>
              <w:keepNext/>
              <w:jc w:val="left"/>
            </w:pPr>
            <w:r>
              <w:rPr>
                <w:rFonts w:ascii="Calibri" w:cs="Calibri" w:eastAsia="Calibri" w:hAnsi="Calibri"/>
                <w:color w:val="1A1A1A"/>
                <w:sz w:val="19"/>
                <w:szCs w:val="19"/>
              </w:rPr>
              <w:t xml:space="preserve">Archive history unavailable on the access date</w:t>
            </w:r>
          </w:p>
        </w:tc>
        <w:tc>
          <w:tcPr>
            <w:tcW w:type="dxa" w:w="1450"/>
            <w:tcBorders>
              <w:top w:val="nil"/>
              <w:left w:val="nil"/>
              <w:bottom w:val="single" w:color="D9D9D9" w:sz="4"/>
              <w:right w:val="nil"/>
            </w:tcBorders>
            <w:tcMar>
              <w:top w:type="dxa" w:w="70"/>
              <w:left w:type="dxa" w:w="100"/>
              <w:bottom w:type="dxa" w:w="70"/>
              <w:right w:type="dxa" w:w="100"/>
            </w:tcMar>
          </w:tcPr>
          <w:p>
            <w:pPr>
              <w:keepNext/>
              <w:jc w:val="left"/>
            </w:pPr>
            <w:r>
              <w:rPr>
                <w:rFonts w:ascii="Calibri" w:cs="Calibri" w:eastAsia="Calibri" w:hAnsi="Calibri"/>
                <w:color w:val="1A1A1A"/>
                <w:sz w:val="19"/>
                <w:szCs w:val="19"/>
              </w:rPr>
              <w:t xml:space="preserve">low</w:t>
            </w:r>
          </w:p>
        </w:tc>
        <w:tc>
          <w:tcPr>
            <w:tcW w:type="dxa" w:w="1450"/>
            <w:tcBorders>
              <w:top w:val="nil"/>
              <w:left w:val="nil"/>
              <w:bottom w:val="single" w:color="D9D9D9" w:sz="4"/>
              <w:right w:val="nil"/>
            </w:tcBorders>
            <w:tcMar>
              <w:top w:type="dxa" w:w="70"/>
              <w:left w:type="dxa" w:w="100"/>
              <w:bottom w:type="dxa" w:w="70"/>
              <w:right w:type="dxa" w:w="100"/>
            </w:tcMar>
          </w:tcPr>
          <w:p>
            <w:pPr>
              <w:keepNext/>
              <w:jc w:val="left"/>
            </w:pPr>
            <w:r>
              <w:rPr>
                <w:rFonts w:ascii="Calibri" w:cs="Calibri" w:eastAsia="Calibri" w:hAnsi="Calibri"/>
                <w:color w:val="1A1A1A"/>
                <w:sz w:val="19"/>
                <w:szCs w:val="19"/>
              </w:rPr>
              <w:t xml:space="preserve">V</w:t>
            </w:r>
          </w:p>
        </w:tc>
        <w:tc>
          <w:tcPr>
            <w:tcW w:type="dxa" w:w="4011"/>
            <w:tcBorders>
              <w:top w:val="nil"/>
              <w:left w:val="nil"/>
              <w:bottom w:val="single" w:color="D9D9D9" w:sz="4"/>
              <w:right w:val="nil"/>
            </w:tcBorders>
            <w:tcMar>
              <w:top w:type="dxa" w:w="70"/>
              <w:left w:type="dxa" w:w="100"/>
              <w:bottom w:type="dxa" w:w="70"/>
              <w:right w:type="dxa" w:w="100"/>
            </w:tcMar>
          </w:tcPr>
          <w:p>
            <w:pPr>
              <w:keepNext/>
              <w:jc w:val="left"/>
            </w:pPr>
            <w:r>
              <w:rPr>
                <w:rFonts w:ascii="Calibri" w:cs="Calibri" w:eastAsia="Calibri" w:hAnsi="Calibri"/>
                <w:b/>
                <w:bCs/>
                <w:color w:val="1A1A1A"/>
                <w:sz w:val="19"/>
                <w:szCs w:val="19"/>
              </w:rPr>
              <w:t xml:space="preserve">Accepted</w:t>
            </w:r>
            <w:r>
              <w:rPr>
                <w:rFonts w:ascii="Calibri" w:cs="Calibri" w:eastAsia="Calibri" w:hAnsi="Calibri"/>
                <w:color w:val="1A1A1A"/>
                <w:sz w:val="19"/>
                <w:szCs w:val="19"/>
              </w:rPr>
              <w:t xml:space="preserve"> as a gap in this version; re-run when the archive returns</w:t>
            </w:r>
          </w:p>
        </w:tc>
      </w:tr>
    </w:tbl>
    <w:p>
      <w:pPr>
        <w:spacing w:after="220" w:before="70"/>
      </w:pPr>
      <w:r>
        <w:rPr>
          <w:rFonts w:ascii="Calibri" w:cs="Calibri" w:eastAsia="Calibri" w:hAnsi="Calibri"/>
          <w:i/>
          <w:iCs/>
          <w:color w:val="5A5A5A"/>
          <w:sz w:val="16"/>
          <w:szCs w:val="16"/>
        </w:rPr>
        <w:t xml:space="preserve">Source: public records as cited. As of 16 September 2026.</w:t>
      </w:r>
    </w:p>
    <w:p>
      <w:pPr>
        <w:keepNext/>
        <w:keepLines/>
        <w:spacing w:after="140" w:before="340"/>
      </w:pPr>
      <w:r>
        <w:rPr>
          <w:rFonts w:ascii="Cambria" w:cs="Cambria" w:eastAsia="Cambria" w:hAnsi="Cambria"/>
          <w:b/>
          <w:bCs/>
          <w:color w:val="1F3A5F"/>
          <w:sz w:val="27"/>
          <w:szCs w:val="27"/>
        </w:rPr>
        <w:t xml:space="preserve">8. What we could not establish</w:t>
      </w:r>
    </w:p>
    <w:p>
      <w:pPr>
        <w:pStyle w:val="ListParagraph"/>
        <w:numPr>
          <w:ilvl w:val="0"/>
          <w:numId w:val="3"/>
        </w:numPr>
        <w:spacing w:after="100" w:line="276"/>
      </w:pPr>
      <w:r>
        <w:rPr>
          <w:rFonts w:ascii="Calibri" w:cs="Calibri" w:eastAsia="Calibri" w:hAnsi="Calibri"/>
          <w:b/>
          <w:bCs/>
          <w:color w:val="1A1A1A"/>
          <w:sz w:val="21"/>
          <w:szCs w:val="21"/>
        </w:rPr>
        <w:t xml:space="preserve">Whether any single-family home has been completed and occupied.</w:t>
      </w:r>
      <w:r>
        <w:rPr>
          <w:rFonts w:ascii="Calibri" w:cs="Calibri" w:eastAsia="Calibri" w:hAnsi="Calibri"/>
          <w:color w:val="1A1A1A"/>
          <w:sz w:val="21"/>
          <w:szCs w:val="21"/>
        </w:rPr>
        <w:t xml:space="preserve"> No source says so, and three journalists have visited sites. Closed by: a certificate of occupancy, or an address.</w:t>
      </w:r>
    </w:p>
    <w:p>
      <w:pPr>
        <w:pStyle w:val="ListParagraph"/>
        <w:numPr>
          <w:ilvl w:val="0"/>
          <w:numId w:val="3"/>
        </w:numPr>
        <w:spacing w:after="100" w:line="276"/>
      </w:pPr>
      <w:r>
        <w:rPr>
          <w:rFonts w:ascii="Calibri" w:cs="Calibri" w:eastAsia="Calibri" w:hAnsi="Calibri"/>
          <w:b/>
          <w:bCs/>
          <w:color w:val="1A1A1A"/>
          <w:sz w:val="21"/>
          <w:szCs w:val="21"/>
        </w:rPr>
        <w:t xml:space="preserve">Cash on hand, and whether anything was raised after March 2024.</w:t>
      </w:r>
      <w:r>
        <w:rPr>
          <w:rFonts w:ascii="Calibri" w:cs="Calibri" w:eastAsia="Calibri" w:hAnsi="Calibri"/>
          <w:color w:val="1A1A1A"/>
          <w:sz w:val="21"/>
          <w:szCs w:val="21"/>
        </w:rPr>
        <w:t xml:space="preserve"> No Form D means the usual free instrument does not exist here. Closed by: the cap table and a bank statement.</w:t>
      </w:r>
    </w:p>
    <w:p>
      <w:pPr>
        <w:pStyle w:val="ListParagraph"/>
        <w:numPr>
          <w:ilvl w:val="0"/>
          <w:numId w:val="3"/>
        </w:numPr>
        <w:spacing w:after="100" w:line="276"/>
      </w:pPr>
      <w:r>
        <w:rPr>
          <w:rFonts w:ascii="Calibri" w:cs="Calibri" w:eastAsia="Calibri" w:hAnsi="Calibri"/>
          <w:b/>
          <w:bCs/>
          <w:color w:val="1A1A1A"/>
          <w:sz w:val="21"/>
          <w:szCs w:val="21"/>
        </w:rPr>
        <w:t xml:space="preserve">Whether the company holds a California contractor licence.</w:t>
      </w:r>
      <w:r>
        <w:rPr>
          <w:rFonts w:ascii="Calibri" w:cs="Calibri" w:eastAsia="Calibri" w:hAnsi="Calibri"/>
          <w:color w:val="1A1A1A"/>
          <w:sz w:val="21"/>
          <w:szCs w:val="21"/>
        </w:rPr>
        <w:t xml:space="preserve"> None is findable under its name or its founder's, and no number is published. A licence held by a differently-named entity would not surface in the searches run. Closed by: asking for the number.</w:t>
      </w:r>
    </w:p>
    <w:p>
      <w:pPr>
        <w:pStyle w:val="ListParagraph"/>
        <w:numPr>
          <w:ilvl w:val="0"/>
          <w:numId w:val="3"/>
        </w:numPr>
        <w:spacing w:after="100" w:line="276"/>
      </w:pPr>
      <w:r>
        <w:rPr>
          <w:rFonts w:ascii="Calibri" w:cs="Calibri" w:eastAsia="Calibri" w:hAnsi="Calibri"/>
          <w:b/>
          <w:bCs/>
          <w:color w:val="1A1A1A"/>
          <w:sz w:val="21"/>
          <w:szCs w:val="21"/>
        </w:rPr>
        <w:t xml:space="preserve">Gross margin on anything built to date.</w:t>
      </w:r>
      <w:r>
        <w:rPr>
          <w:rFonts w:ascii="Calibri" w:cs="Calibri" w:eastAsia="Calibri" w:hAnsi="Calibri"/>
          <w:color w:val="1A1A1A"/>
          <w:sz w:val="21"/>
          <w:szCs w:val="21"/>
        </w:rPr>
        <w:t xml:space="preserve"> Closed by: the job-cost ledger for the two completed ADUs.</w:t>
      </w:r>
    </w:p>
    <w:p>
      <w:pPr>
        <w:pStyle w:val="ListParagraph"/>
        <w:numPr>
          <w:ilvl w:val="0"/>
          <w:numId w:val="3"/>
        </w:numPr>
        <w:spacing w:after="100" w:line="276"/>
      </w:pPr>
      <w:r>
        <w:rPr>
          <w:rFonts w:ascii="Calibri" w:cs="Calibri" w:eastAsia="Calibri" w:hAnsi="Calibri"/>
          <w:b/>
          <w:bCs/>
          <w:color w:val="1A1A1A"/>
          <w:sz w:val="21"/>
          <w:szCs w:val="21"/>
        </w:rPr>
        <w:t xml:space="preserve">How the reservation counter and prices moved over time.</w:t>
      </w:r>
      <w:r>
        <w:rPr>
          <w:rFonts w:ascii="Calibri" w:cs="Calibri" w:eastAsia="Calibri" w:hAnsi="Calibri"/>
          <w:color w:val="1A1A1A"/>
          <w:sz w:val="21"/>
          <w:szCs w:val="21"/>
        </w:rPr>
        <w:t xml:space="preserve"> The Wayback Machine was offline on the access date and archive.today holds no snapshots of this site. This is a tooling outage, not a finding about the company; the check should be re-run when the archive returns.</w:t>
      </w:r>
    </w:p>
    <w:p>
      <w:pPr>
        <w:pStyle w:val="ListParagraph"/>
        <w:numPr>
          <w:ilvl w:val="0"/>
          <w:numId w:val="3"/>
        </w:numPr>
        <w:spacing w:after="100" w:line="276"/>
      </w:pPr>
      <w:r>
        <w:rPr>
          <w:rFonts w:ascii="Calibri" w:cs="Calibri" w:eastAsia="Calibri" w:hAnsi="Calibri"/>
          <w:b/>
          <w:bCs/>
          <w:color w:val="1A1A1A"/>
          <w:sz w:val="21"/>
          <w:szCs w:val="21"/>
        </w:rPr>
        <w:t xml:space="preserve">What happened to Formdwell.</w:t>
      </w:r>
      <w:r>
        <w:rPr>
          <w:rFonts w:ascii="Calibri" w:cs="Calibri" w:eastAsia="Calibri" w:hAnsi="Calibri"/>
          <w:color w:val="1A1A1A"/>
          <w:sz w:val="21"/>
          <w:szCs w:val="21"/>
        </w:rPr>
        <w:t xml:space="preserve"> No acquisition, no dissolution notice, a site still carrying the pitch. Closed by: the Delaware or New York entity record.</w:t>
      </w:r>
    </w:p>
    <w:p>
      <w:pPr>
        <w:pStyle w:val="ListParagraph"/>
        <w:numPr>
          <w:ilvl w:val="0"/>
          <w:numId w:val="3"/>
        </w:numPr>
        <w:spacing w:after="100" w:line="276"/>
      </w:pPr>
      <w:r>
        <w:rPr>
          <w:rFonts w:ascii="Calibri" w:cs="Calibri" w:eastAsia="Calibri" w:hAnsi="Calibri"/>
          <w:b/>
          <w:bCs/>
          <w:color w:val="1A1A1A"/>
          <w:sz w:val="21"/>
          <w:szCs w:val="21"/>
        </w:rPr>
        <w:t xml:space="preserve">The company's legal entity, formation date and state.</w:t>
      </w:r>
      <w:r>
        <w:rPr>
          <w:rFonts w:ascii="Calibri" w:cs="Calibri" w:eastAsia="Calibri" w:hAnsi="Calibri"/>
          <w:color w:val="1A1A1A"/>
          <w:sz w:val="21"/>
          <w:szCs w:val="21"/>
        </w:rPr>
        <w:t xml:space="preserve"> The California Secretary of State business search and Delaware's entity search both sit behind CAPTCHAs that an automated pass will not and should not defeat. The "Public Benefit Corporation" claim is therefore unverified. Closed by: two manual lookups, ten minutes.</w:t>
      </w:r>
    </w:p>
    <w:p>
      <w:pPr>
        <w:pStyle w:val="ListParagraph"/>
        <w:numPr>
          <w:ilvl w:val="0"/>
          <w:numId w:val="3"/>
        </w:numPr>
        <w:spacing w:after="100" w:line="276"/>
      </w:pPr>
      <w:r>
        <w:rPr>
          <w:rFonts w:ascii="Calibri" w:cs="Calibri" w:eastAsia="Calibri" w:hAnsi="Calibri"/>
          <w:b/>
          <w:bCs/>
          <w:color w:val="1A1A1A"/>
          <w:sz w:val="21"/>
          <w:szCs w:val="21"/>
        </w:rPr>
        <w:t xml:space="preserve">Whether any investor holds a board seat.</w:t>
      </w:r>
      <w:r>
        <w:rPr>
          <w:rFonts w:ascii="Calibri" w:cs="Calibri" w:eastAsia="Calibri" w:hAnsi="Calibri"/>
          <w:color w:val="1A1A1A"/>
          <w:sz w:val="21"/>
          <w:szCs w:val="21"/>
        </w:rPr>
        <w:t xml:space="preserve"> The lead states board seats as firm policy but nothing confirms one here, and there is no Form D listing related persons.</w:t>
      </w:r>
    </w:p>
    <w:p>
      <w:pPr>
        <w:pStyle w:val="ListParagraph"/>
        <w:numPr>
          <w:ilvl w:val="0"/>
          <w:numId w:val="3"/>
        </w:numPr>
        <w:spacing w:after="100" w:line="276"/>
      </w:pPr>
      <w:r>
        <w:rPr>
          <w:rFonts w:ascii="Calibri" w:cs="Calibri" w:eastAsia="Calibri" w:hAnsi="Calibri"/>
          <w:b/>
          <w:bCs/>
          <w:color w:val="1A1A1A"/>
          <w:sz w:val="21"/>
          <w:szCs w:val="21"/>
        </w:rPr>
        <w:t xml:space="preserve">Throughput actually achieved by the robot cell.</w:t>
      </w:r>
      <w:r>
        <w:rPr>
          <w:rFonts w:ascii="Calibri" w:cs="Calibri" w:eastAsia="Calibri" w:hAnsi="Calibri"/>
          <w:color w:val="1A1A1A"/>
          <w:sz w:val="21"/>
          <w:szCs w:val="21"/>
        </w:rPr>
        <w:t xml:space="preserve"> The company's own technology page publishes no rate; every number in circulation traces to the company or the joint ABB release.</w:t>
      </w:r>
    </w:p>
    <w:p>
      <w:pPr>
        <w:pStyle w:val="ListParagraph"/>
        <w:numPr>
          <w:ilvl w:val="0"/>
          <w:numId w:val="3"/>
        </w:numPr>
        <w:spacing w:after="100" w:line="276"/>
      </w:pPr>
      <w:r>
        <w:rPr>
          <w:rFonts w:ascii="Calibri" w:cs="Calibri" w:eastAsia="Calibri" w:hAnsi="Calibri"/>
          <w:b/>
          <w:bCs/>
          <w:color w:val="1A1A1A"/>
          <w:sz w:val="21"/>
          <w:szCs w:val="21"/>
        </w:rPr>
        <w:t xml:space="preserve">Whether the 45 published concept designs correspond to real prospects.</w:t>
      </w:r>
      <w:r>
        <w:rPr>
          <w:rFonts w:ascii="Calibri" w:cs="Calibri" w:eastAsia="Calibri" w:hAnsi="Calibri"/>
          <w:color w:val="1A1A1A"/>
          <w:sz w:val="21"/>
          <w:szCs w:val="21"/>
        </w:rPr>
        <w:t xml:space="preserve"> The captions offer the same design free to anyone, and addresses are deliberately approximate.</w:t>
      </w:r>
    </w:p>
    <w:p>
      <w:r>
        <w:br w:type="page"/>
      </w:r>
    </w:p>
    <w:p>
      <w:pPr>
        <w:keepNext/>
        <w:keepLines/>
        <w:spacing w:after="140" w:before="340"/>
      </w:pPr>
      <w:r>
        <w:rPr>
          <w:rFonts w:ascii="Cambria" w:cs="Cambria" w:eastAsia="Cambria" w:hAnsi="Cambria"/>
          <w:b/>
          <w:bCs/>
          <w:color w:val="1F3A5F"/>
          <w:sz w:val="27"/>
          <w:szCs w:val="27"/>
        </w:rPr>
        <w:t xml:space="preserve">OPINION</w:t>
      </w:r>
    </w:p>
    <w:p>
      <w:pPr>
        <w:spacing w:after="140" w:line="276"/>
      </w:pPr>
      <w:r>
        <w:rPr>
          <w:rFonts w:ascii="Calibri" w:cs="Calibri" w:eastAsia="Calibri" w:hAnsi="Calibri"/>
          <w:i/>
          <w:iCs/>
          <w:color w:val="1A1A1A"/>
          <w:sz w:val="21"/>
          <w:szCs w:val="21"/>
        </w:rPr>
        <w:t xml:space="preserve">Everything above is descriptive. What follows is a view.</w:t>
      </w:r>
    </w:p>
    <w:p>
      <w:pPr>
        <w:keepNext/>
        <w:keepLines/>
        <w:spacing w:after="140" w:before="340"/>
      </w:pPr>
      <w:r>
        <w:rPr>
          <w:rFonts w:ascii="Cambria" w:cs="Cambria" w:eastAsia="Cambria" w:hAnsi="Cambria"/>
          <w:b/>
          <w:bCs/>
          <w:color w:val="1F3A5F"/>
          <w:sz w:val="27"/>
          <w:szCs w:val="27"/>
        </w:rPr>
        <w:t xml:space="preserve">Pre-mortem</w:t>
      </w:r>
    </w:p>
    <w:p>
      <w:pPr>
        <w:spacing w:after="140" w:line="276"/>
      </w:pPr>
      <w:r>
        <w:rPr>
          <w:rFonts w:ascii="Calibri" w:cs="Calibri" w:eastAsia="Calibri" w:hAnsi="Calibri"/>
          <w:color w:val="1A1A1A"/>
          <w:sz w:val="21"/>
          <w:szCs w:val="21"/>
        </w:rPr>
        <w:t xml:space="preserve">It is 2029 and Cosmic has failed. The failure was never a shortage of interest.</w:t>
      </w:r>
    </w:p>
    <w:p>
      <w:pPr>
        <w:spacing w:after="140" w:line="276"/>
      </w:pPr>
      <w:r>
        <w:rPr>
          <w:rFonts w:ascii="Calibri" w:cs="Calibri" w:eastAsia="Calibri" w:hAnsi="Calibri"/>
          <w:color w:val="1A1A1A"/>
          <w:sz w:val="21"/>
          <w:szCs w:val="21"/>
        </w:rPr>
        <w:t xml:space="preserve">The free concept designs worked exactly as intended: forty-five lots drawn, a wall of press, "around forty clients". What they did not do was convert. Turning a free rendering into a signed fixed-price contract required three things the company did not control — an insurance settlement that actually cleared, a construction loan, and a permit — and in the Palisades all three ran slower than anyone modelled, while a large share of owners sold their lots instead of rebuilding. Of the forty, a handful signed. The funnel that looked like a pipeline was a marketing list.</w:t>
      </w:r>
    </w:p>
    <w:p>
      <w:pPr>
        <w:spacing w:after="140" w:line="276"/>
      </w:pPr>
      <w:r>
        <w:rPr>
          <w:rFonts w:ascii="Calibri" w:cs="Calibri" w:eastAsia="Calibri" w:hAnsi="Calibri"/>
          <w:color w:val="1A1A1A"/>
          <w:sz w:val="21"/>
          <w:szCs w:val="21"/>
        </w:rPr>
        <w:t xml:space="preserve">On the few that did sign, the company carried a general contractor's risk without a general contractor's balance sheet. Fixed-price contracts written in 2025 and 2026 were built out through 2027 into a costlier labour and materials market, and because the price was fixed the overrun landed on Cosmic. There was no land profit to absorb it — the homeowner owned the lot — and no lead investor deep enough to write the rescue cheque. Two bad jobs were enough.</w:t>
      </w:r>
    </w:p>
    <w:p>
      <w:pPr>
        <w:spacing w:after="140" w:line="276"/>
      </w:pPr>
      <w:r>
        <w:rPr>
          <w:rFonts w:ascii="Calibri" w:cs="Calibri" w:eastAsia="Calibri" w:hAnsi="Calibri"/>
          <w:color w:val="1A1A1A"/>
          <w:sz w:val="21"/>
          <w:szCs w:val="21"/>
        </w:rPr>
        <w:t xml:space="preserve">The robot worked. That was the cruelest part. It framed houses in ten days exactly as claimed, and it did not matter, because framing was never the binding cost, the cell spent most of its life waiting for the next permit, and each finished house still carried a project manager and a superintendent like everyone else's. The capital was cheap and the utilisation was hopeless. Meanwhile the organisation that would have caught this was never built: the company hired architects and computational designers in Belgrade and never hired a head of construction operations who had delivered residential projects in Los Angeles.</w:t>
      </w:r>
    </w:p>
    <w:p>
      <w:pPr>
        <w:spacing w:after="140" w:line="276"/>
      </w:pPr>
      <w:r>
        <w:rPr>
          <w:rFonts w:ascii="Calibri" w:cs="Calibri" w:eastAsia="Calibri" w:hAnsi="Calibri"/>
          <w:color w:val="1A1A1A"/>
          <w:sz w:val="21"/>
          <w:szCs w:val="21"/>
        </w:rPr>
        <w:t xml:space="preserve">The founder had run this play once already. Formdwell pitched a mobile construction factory in 2017, and it ended without anyone writing down why.</w:t>
      </w:r>
    </w:p>
    <w:p>
      <w:pPr>
        <w:spacing w:after="140" w:line="276"/>
      </w:pPr>
      <w:r>
        <w:rPr>
          <w:rFonts w:ascii="Calibri" w:cs="Calibri" w:eastAsia="Calibri" w:hAnsi="Calibri"/>
          <w:color w:val="1A1A1A"/>
          <w:sz w:val="21"/>
          <w:szCs w:val="21"/>
        </w:rPr>
        <w:t xml:space="preserve">And all of it was visible in September 2026. Twenty months after the fires there was still no completed single-family home. The pipeline figure had been restated four times in four different units. No contractor licence number appeared anywhere. There was no manufacturing lead. The showroom was a tent on a burned lot. Every one of those was read at the time as the ordinary messiness of an early hardware company.</w:t>
      </w:r>
    </w:p>
    <w:p>
      <w:pPr>
        <w:keepNext/>
        <w:keepLines/>
        <w:spacing w:after="140" w:before="340"/>
      </w:pPr>
      <w:r>
        <w:rPr>
          <w:rFonts w:ascii="Cambria" w:cs="Cambria" w:eastAsia="Cambria" w:hAnsi="Cambria"/>
          <w:b/>
          <w:bCs/>
          <w:color w:val="1F3A5F"/>
          <w:sz w:val="27"/>
          <w:szCs w:val="27"/>
        </w:rPr>
        <w:t xml:space="preserve">The call</w:t>
      </w:r>
    </w:p>
    <w:p>
      <w:pPr>
        <w:spacing w:after="140" w:line="276"/>
      </w:pPr>
      <w:r>
        <w:rPr>
          <w:rFonts w:ascii="Calibri" w:cs="Calibri" w:eastAsia="Calibri" w:hAnsi="Calibri"/>
          <w:b/>
          <w:bCs/>
          <w:color w:val="1A1A1A"/>
          <w:sz w:val="21"/>
          <w:szCs w:val="21"/>
        </w:rPr>
        <w:t xml:space="preserve">Worth a first meeting. Not an investment on this evidence.</w:t>
      </w:r>
      <w:r>
        <w:rPr>
          <w:rFonts w:ascii="Calibri" w:cs="Calibri" w:eastAsia="Calibri" w:hAnsi="Calibri"/>
          <w:color w:val="1A1A1A"/>
          <w:sz w:val="21"/>
          <w:szCs w:val="21"/>
        </w:rPr>
        <w:t xml:space="preserve"> I would take the meeting for the mechanism, and I would spend the whole of it on delivery rather than on the robot.</w:t>
      </w:r>
    </w:p>
    <w:p>
      <w:pPr>
        <w:spacing w:after="140" w:line="276"/>
      </w:pPr>
      <w:r>
        <w:rPr>
          <w:rFonts w:ascii="Calibri" w:cs="Calibri" w:eastAsia="Calibri" w:hAnsi="Calibri"/>
          <w:color w:val="1A1A1A"/>
          <w:sz w:val="21"/>
          <w:szCs w:val="21"/>
        </w:rPr>
        <w:t xml:space="preserve">The insight is real and I do not want to undersell it. Katerra burned roughly two billion dollars and Veev and Mighty Buildings followed, all on the same structural error: a big fixed factory that must be kept full, making objects too large to truck economically. Cosmic's answer — a small cell that travels to the lot — attacks both costs at once and is the first version of this idea I have seen that is not simply a restatement of the thing that failed. If someone is going to make industrialised housing work in America, this is a more plausible shape than the last three attempts.</w:t>
      </w:r>
    </w:p>
    <w:p>
      <w:pPr>
        <w:spacing w:after="140" w:line="276"/>
      </w:pPr>
      <w:r>
        <w:rPr>
          <w:rFonts w:ascii="Calibri" w:cs="Calibri" w:eastAsia="Calibri" w:hAnsi="Calibri"/>
          <w:b/>
          <w:bCs/>
          <w:color w:val="1A1A1A"/>
          <w:sz w:val="21"/>
          <w:szCs w:val="21"/>
        </w:rPr>
        <w:t xml:space="preserve">The strongest case against my own view, which deserves stating properly.</w:t>
      </w:r>
      <w:r>
        <w:rPr>
          <w:rFonts w:ascii="Calibri" w:cs="Calibri" w:eastAsia="Calibri" w:hAnsi="Calibri"/>
          <w:color w:val="1A1A1A"/>
          <w:sz w:val="21"/>
          <w:szCs w:val="21"/>
        </w:rPr>
        <w:t xml:space="preserve"> The complaint that Cosmic has finished nothing looks much weaker once you count what anyone else has finished. Across both fire zones, 16,264 structures were destroyed; twenty months later the City of Los Angeles has issued </w:t>
      </w:r>
      <w:r>
        <w:rPr>
          <w:rFonts w:ascii="Calibri" w:cs="Calibri" w:eastAsia="Calibri" w:hAnsi="Calibri"/>
          <w:b/>
          <w:bCs/>
          <w:color w:val="1A1A1A"/>
          <w:sz w:val="21"/>
          <w:szCs w:val="21"/>
        </w:rPr>
        <w:t xml:space="preserve">48 certificates of occupancy</w:t>
      </w:r>
      <w:r>
        <w:rPr>
          <w:rFonts w:ascii="Calibri" w:cs="Calibri" w:eastAsia="Calibri" w:hAnsi="Calibri"/>
          <w:color w:val="1A1A1A"/>
          <w:sz w:val="21"/>
          <w:szCs w:val="21"/>
        </w:rPr>
        <w:t xml:space="preserve"> and unincorporated LA County has recorded </w:t>
      </w:r>
      <w:r>
        <w:rPr>
          <w:rFonts w:ascii="Calibri" w:cs="Calibri" w:eastAsia="Calibri" w:hAnsi="Calibri"/>
          <w:b/>
          <w:bCs/>
          <w:color w:val="1A1A1A"/>
          <w:sz w:val="21"/>
          <w:szCs w:val="21"/>
        </w:rPr>
        <w:t xml:space="preserve">192 completed rebuilds</w:t>
      </w:r>
      <w:r>
        <w:rPr>
          <w:rFonts w:ascii="Calibri" w:cs="Calibri" w:eastAsia="Calibri" w:hAnsi="Calibri"/>
          <w:color w:val="1A1A1A"/>
          <w:sz w:val="21"/>
          <w:szCs w:val="21"/>
        </w:rPr>
        <w:t xml:space="preserve"> [filing]. That is roughly 1.5% of the loss, achieved by every builder in Los Angeles combined. Permitting inside the Coastal Zone, where the Palisades sits, runs a median of 260 days before anyone breaks ground [observed]. Against that backdrop, a young company with a handful of houses in progress is not obviously failing — it is moving at the speed of the market it entered. Roughly 40% of the lots that do sell are being bought by investors rather than rebuilt by their owners, so the demand Cosmic is chasing is genuinely thinner than the destruction figure suggests, and that is nobody's fault.</w:t>
      </w:r>
    </w:p>
    <w:p>
      <w:pPr>
        <w:spacing w:after="140" w:line="276"/>
      </w:pPr>
      <w:r>
        <w:rPr>
          <w:rFonts w:ascii="Calibri" w:cs="Calibri" w:eastAsia="Calibri" w:hAnsi="Calibri"/>
          <w:color w:val="1A1A1A"/>
          <w:sz w:val="21"/>
          <w:szCs w:val="21"/>
        </w:rPr>
        <w:t xml:space="preserve">There is a real regulatory advantage here too, and I do not think the company has fully noticed it. Building on the lot appears to keep Cosmic outside California's factory-built housing insignia regime — the same approval process whose delays Boxabl blames, in its own 10-K, for the going-concern doubt now attached to its accounts [filing]. The strategy may dodge a bottleneck that is actively throttling the best-capitalised competitor in the category.</w:t>
      </w:r>
    </w:p>
    <w:p>
      <w:pPr>
        <w:spacing w:after="140" w:line="276"/>
      </w:pPr>
      <w:r>
        <w:rPr>
          <w:rFonts w:ascii="Calibri" w:cs="Calibri" w:eastAsia="Calibri" w:hAnsi="Calibri"/>
          <w:color w:val="1A1A1A"/>
          <w:sz w:val="21"/>
          <w:szCs w:val="21"/>
        </w:rPr>
        <w:t xml:space="preserve">I have weighed all of that, and it moves me on </w:t>
      </w:r>
      <w:r>
        <w:rPr>
          <w:rFonts w:ascii="Calibri" w:cs="Calibri" w:eastAsia="Calibri" w:hAnsi="Calibri"/>
          <w:i/>
          <w:iCs/>
          <w:color w:val="1A1A1A"/>
          <w:sz w:val="21"/>
          <w:szCs w:val="21"/>
        </w:rPr>
        <w:t xml:space="preserve">why</w:t>
      </w:r>
      <w:r>
        <w:rPr>
          <w:rFonts w:ascii="Calibri" w:cs="Calibri" w:eastAsia="Calibri" w:hAnsi="Calibri"/>
          <w:color w:val="1A1A1A"/>
          <w:sz w:val="21"/>
          <w:szCs w:val="21"/>
        </w:rPr>
        <w:t xml:space="preserve"> there are no completions without moving me on what to do next. Because the same public record that excuses the pace also shows what finishing looks like when it happens: one Palisades rebuild in the permit data is explicitly factory-built and state-approved, and its certificate of occupancy, issued in March 2026, carries an active class B contractor licence belonging to Cover Technologies [filing]. A competitor with less money and less press has the permit, the licence, the bond and the certificate. That is the comparison that matters, and it is not a comparison about robots.</w:t>
      </w:r>
    </w:p>
    <w:p>
      <w:pPr>
        <w:spacing w:after="140" w:line="276"/>
      </w:pPr>
      <w:r>
        <w:rPr>
          <w:rFonts w:ascii="Calibri" w:cs="Calibri" w:eastAsia="Calibri" w:hAnsi="Calibri"/>
          <w:color w:val="1A1A1A"/>
          <w:sz w:val="21"/>
          <w:szCs w:val="21"/>
        </w:rPr>
        <w:t xml:space="preserve">But the evidence supports the </w:t>
      </w:r>
      <w:r>
        <w:rPr>
          <w:rFonts w:ascii="Calibri" w:cs="Calibri" w:eastAsia="Calibri" w:hAnsi="Calibri"/>
          <w:i/>
          <w:iCs/>
          <w:color w:val="1A1A1A"/>
          <w:sz w:val="21"/>
          <w:szCs w:val="21"/>
        </w:rPr>
        <w:t xml:space="preserve">idea</w:t>
      </w:r>
      <w:r>
        <w:rPr>
          <w:rFonts w:ascii="Calibri" w:cs="Calibri" w:eastAsia="Calibri" w:hAnsi="Calibri"/>
          <w:color w:val="1A1A1A"/>
          <w:sz w:val="21"/>
          <w:szCs w:val="21"/>
        </w:rPr>
        <w:t xml:space="preserve">, not the </w:t>
      </w:r>
      <w:r>
        <w:rPr>
          <w:rFonts w:ascii="Calibri" w:cs="Calibri" w:eastAsia="Calibri" w:hAnsi="Calibri"/>
          <w:i/>
          <w:iCs/>
          <w:color w:val="1A1A1A"/>
          <w:sz w:val="21"/>
          <w:szCs w:val="21"/>
        </w:rPr>
        <w:t xml:space="preserve">company</w:t>
      </w:r>
      <w:r>
        <w:rPr>
          <w:rFonts w:ascii="Calibri" w:cs="Calibri" w:eastAsia="Calibri" w:hAnsi="Calibri"/>
          <w:color w:val="1A1A1A"/>
          <w:sz w:val="21"/>
          <w:szCs w:val="21"/>
        </w:rPr>
        <w:t xml:space="preserve">. What the record shows after four years is two completed accessory dwelling units, one single-family house a third built, and a set of published numbers that change unit of measurement every time they are restated. And the economics are bounded in a way the company has not addressed. Framing is about 16.6% of construction cost [analog — NAHB's 2024 cost-of-construction survey, the industry's standard breakdown], and Cosmic's customer pays for construction alone because the homeowner already owns the lot. So even taking the claim of 80% off framing entirely at face value, that is roughly 13% off the house — against a headline claim of 30% cheaper. More than half of the claimed saving has never been explained, and no one in the press set has asked.</w:t>
      </w:r>
    </w:p>
    <w:p>
      <w:pPr>
        <w:spacing w:after="140" w:line="276"/>
      </w:pPr>
      <w:r>
        <w:rPr>
          <w:rFonts w:ascii="Calibri" w:cs="Calibri" w:eastAsia="Calibri" w:hAnsi="Calibri"/>
          <w:b/>
          <w:bCs/>
          <w:color w:val="1A1A1A"/>
          <w:sz w:val="21"/>
          <w:szCs w:val="21"/>
        </w:rPr>
        <w:t xml:space="preserve">A caveat the grading forces me to state.</w:t>
      </w:r>
      <w:r>
        <w:rPr>
          <w:rFonts w:ascii="Calibri" w:cs="Calibri" w:eastAsia="Calibri" w:hAnsi="Calibri"/>
          <w:color w:val="1A1A1A"/>
          <w:sz w:val="21"/>
          <w:szCs w:val="21"/>
        </w:rPr>
        <w:t xml:space="preserve"> Eighteen of the fifty-three registry rows are </w:t>
      </w:r>
      <w:r>
        <w:rPr>
          <w:rFonts w:ascii="Calibri" w:cs="Calibri" w:eastAsia="Calibri" w:hAnsi="Calibri"/>
          <w:b/>
          <w:bCs/>
          <w:color w:val="1F3A5F"/>
          <w:sz w:val="21"/>
          <w:szCs w:val="21"/>
        </w:rPr>
        <w:t xml:space="preserve">C</w:t>
      </w:r>
      <w:r>
        <w:rPr>
          <w:rFonts w:ascii="Calibri" w:cs="Calibri" w:eastAsia="Calibri" w:hAnsi="Calibri"/>
          <w:color w:val="1A1A1A"/>
          <w:sz w:val="21"/>
          <w:szCs w:val="21"/>
        </w:rPr>
        <w:t xml:space="preserve"> — the company is the only source. That includes the entire price list, every pipeline figure, the capacity and savings claims, and therefore the margins the model runs on. So the break-even of roughly 86 homes a year is not an independent measurement; it is a conditional statement about the company's own numbers. What is </w:t>
      </w:r>
      <w:r>
        <w:rPr>
          <w:rFonts w:ascii="Calibri" w:cs="Calibri" w:eastAsia="Calibri" w:hAnsi="Calibri"/>
          <w:b/>
          <w:bCs/>
          <w:color w:val="1F3A5F"/>
          <w:sz w:val="21"/>
          <w:szCs w:val="21"/>
        </w:rPr>
        <w:t xml:space="preserve">V</w:t>
      </w:r>
      <w:r>
        <w:rPr>
          <w:rFonts w:ascii="Calibri" w:cs="Calibri" w:eastAsia="Calibri" w:hAnsi="Calibri"/>
          <w:color w:val="1A1A1A"/>
          <w:sz w:val="21"/>
          <w:szCs w:val="21"/>
        </w:rPr>
        <w:t xml:space="preserve">-graded is the other half of the picture: the absent licence, the permit record, the completions, the market data. The negative case rests on verified evidence. The quantified case rests on the company's account of itself, and would move if the job-cost ledger said something different.</w:t>
      </w:r>
    </w:p>
    <w:p>
      <w:pPr>
        <w:keepNext/>
        <w:spacing w:after="80" w:line="276"/>
      </w:pPr>
      <w:r>
        <w:rPr>
          <w:rFonts w:ascii="Calibri" w:cs="Calibri" w:eastAsia="Calibri" w:hAnsi="Calibri"/>
          <w:b/>
          <w:bCs/>
          <w:color w:val="1A1A1A"/>
          <w:sz w:val="21"/>
          <w:szCs w:val="21"/>
        </w:rPr>
        <w:t xml:space="preserve">Resting on</w:t>
      </w:r>
    </w:p>
    <w:p>
      <w:pPr>
        <w:pStyle w:val="ListParagraph"/>
        <w:numPr>
          <w:ilvl w:val="0"/>
          <w:numId w:val="5"/>
        </w:numPr>
        <w:spacing w:after="100" w:line="276"/>
      </w:pPr>
      <w:r>
        <w:rPr>
          <w:rFonts w:ascii="Calibri" w:cs="Calibri" w:eastAsia="Calibri" w:hAnsi="Calibri"/>
          <w:color w:val="1A1A1A"/>
          <w:sz w:val="21"/>
          <w:szCs w:val="21"/>
        </w:rPr>
        <w:t xml:space="preserve">That the company has not completed a single-family home, twenty months into its defining market opportunity — </w:t>
      </w:r>
      <w:r>
        <w:rPr>
          <w:rFonts w:ascii="Calibri" w:cs="Calibri" w:eastAsia="Calibri" w:hAnsi="Calibri"/>
          <w:i/>
          <w:iCs/>
          <w:color w:val="1A1A1A"/>
          <w:sz w:val="21"/>
          <w:szCs w:val="21"/>
        </w:rPr>
        <w:t xml:space="preserve">high confidence</w:t>
      </w:r>
      <w:r>
        <w:rPr>
          <w:rFonts w:ascii="Calibri" w:cs="Calibri" w:eastAsia="Calibri" w:hAnsi="Calibri"/>
          <w:color w:val="1A1A1A"/>
          <w:sz w:val="21"/>
          <w:szCs w:val="21"/>
        </w:rPr>
        <w:t xml:space="preserve"> on the fact, </w:t>
      </w:r>
      <w:r>
        <w:rPr>
          <w:rFonts w:ascii="Calibri" w:cs="Calibri" w:eastAsia="Calibri" w:hAnsi="Calibri"/>
          <w:i/>
          <w:iCs/>
          <w:color w:val="1A1A1A"/>
          <w:sz w:val="21"/>
          <w:szCs w:val="21"/>
        </w:rPr>
        <w:t xml:space="preserve">medium</w:t>
      </w:r>
      <w:r>
        <w:rPr>
          <w:rFonts w:ascii="Calibri" w:cs="Calibri" w:eastAsia="Calibri" w:hAnsi="Calibri"/>
          <w:color w:val="1A1A1A"/>
          <w:sz w:val="21"/>
          <w:szCs w:val="21"/>
        </w:rPr>
        <w:t xml:space="preserve"> on what it means: three journalists visited sites and none reported one, and the company has not claimed one; but the whole market has completed only about 1.5% of what burned, so the absence is far less damning than it first reads.</w:t>
      </w:r>
    </w:p>
    <w:p>
      <w:pPr>
        <w:pStyle w:val="ListParagraph"/>
        <w:numPr>
          <w:ilvl w:val="0"/>
          <w:numId w:val="5"/>
        </w:numPr>
        <w:spacing w:after="100" w:line="276"/>
      </w:pPr>
      <w:r>
        <w:rPr>
          <w:rFonts w:ascii="Calibri" w:cs="Calibri" w:eastAsia="Calibri" w:hAnsi="Calibri"/>
          <w:color w:val="1A1A1A"/>
          <w:sz w:val="21"/>
          <w:szCs w:val="21"/>
        </w:rPr>
        <w:t xml:space="preserve">That demand conversion, not robot throughput, is the binding constraint — </w:t>
      </w:r>
      <w:r>
        <w:rPr>
          <w:rFonts w:ascii="Calibri" w:cs="Calibri" w:eastAsia="Calibri" w:hAnsi="Calibri"/>
          <w:i/>
          <w:iCs/>
          <w:color w:val="1A1A1A"/>
          <w:sz w:val="21"/>
          <w:szCs w:val="21"/>
        </w:rPr>
        <w:t xml:space="preserve">medium confidence</w:t>
      </w:r>
      <w:r>
        <w:rPr>
          <w:rFonts w:ascii="Calibri" w:cs="Calibri" w:eastAsia="Calibri" w:hAnsi="Calibri"/>
          <w:color w:val="1A1A1A"/>
          <w:sz w:val="21"/>
          <w:szCs w:val="21"/>
        </w:rPr>
        <w:t xml:space="preserve">: this is what the model says across every scenario, but it follows from ranges I chose and stated.</w:t>
      </w:r>
    </w:p>
    <w:p>
      <w:pPr>
        <w:pStyle w:val="ListParagraph"/>
        <w:numPr>
          <w:ilvl w:val="0"/>
          <w:numId w:val="5"/>
        </w:numPr>
        <w:spacing w:after="100" w:line="276"/>
      </w:pPr>
      <w:r>
        <w:rPr>
          <w:rFonts w:ascii="Calibri" w:cs="Calibri" w:eastAsia="Calibri" w:hAnsi="Calibri"/>
          <w:color w:val="1A1A1A"/>
          <w:sz w:val="21"/>
          <w:szCs w:val="21"/>
        </w:rPr>
        <w:t xml:space="preserve">That cash is thin — </w:t>
      </w:r>
      <w:r>
        <w:rPr>
          <w:rFonts w:ascii="Calibri" w:cs="Calibri" w:eastAsia="Calibri" w:hAnsi="Calibri"/>
          <w:i/>
          <w:iCs/>
          <w:color w:val="1A1A1A"/>
          <w:sz w:val="21"/>
          <w:szCs w:val="21"/>
        </w:rPr>
        <w:t xml:space="preserve">low confidence</w:t>
      </w:r>
      <w:r>
        <w:rPr>
          <w:rFonts w:ascii="Calibri" w:cs="Calibri" w:eastAsia="Calibri" w:hAnsi="Calibri"/>
          <w:color w:val="1A1A1A"/>
          <w:sz w:val="21"/>
          <w:szCs w:val="21"/>
        </w:rPr>
        <w:t xml:space="preserve">: the only disclosed raise is $1.5M from March 2024, there is no Form D, and the one figure suggesting more money is an uncorroborated tile on an investor's website.</w:t>
      </w:r>
    </w:p>
    <w:p>
      <w:pPr>
        <w:keepNext/>
        <w:spacing w:after="80" w:line="276"/>
      </w:pPr>
      <w:r>
        <w:rPr>
          <w:rFonts w:ascii="Calibri" w:cs="Calibri" w:eastAsia="Calibri" w:hAnsi="Calibri"/>
          <w:b/>
          <w:bCs/>
          <w:color w:val="1A1A1A"/>
          <w:sz w:val="21"/>
          <w:szCs w:val="21"/>
        </w:rPr>
        <w:t xml:space="preserve">Falsifiers</w:t>
      </w:r>
    </w:p>
    <w:p>
      <w:pPr>
        <w:pStyle w:val="ListParagraph"/>
        <w:numPr>
          <w:ilvl w:val="0"/>
          <w:numId w:val="3"/>
        </w:numPr>
        <w:spacing w:after="100" w:line="276"/>
      </w:pPr>
      <w:r>
        <w:rPr>
          <w:rFonts w:ascii="Calibri" w:cs="Calibri" w:eastAsia="Calibri" w:hAnsi="Calibri"/>
          <w:color w:val="1A1A1A"/>
          <w:sz w:val="21"/>
          <w:szCs w:val="21"/>
        </w:rPr>
        <w:t xml:space="preserve">A certificate of occupancy on a completed single-family Cosmic home, with build duration and final cost against the signed contract. One address would do it.</w:t>
      </w:r>
    </w:p>
    <w:p>
      <w:pPr>
        <w:pStyle w:val="ListParagraph"/>
        <w:numPr>
          <w:ilvl w:val="0"/>
          <w:numId w:val="3"/>
        </w:numPr>
        <w:spacing w:after="100" w:line="276"/>
      </w:pPr>
      <w:r>
        <w:rPr>
          <w:rFonts w:ascii="Calibri" w:cs="Calibri" w:eastAsia="Calibri" w:hAnsi="Calibri"/>
          <w:color w:val="1A1A1A"/>
          <w:sz w:val="21"/>
          <w:szCs w:val="21"/>
        </w:rPr>
        <w:t xml:space="preserve">An active CSLB general contractor licence number in the company's own name.</w:t>
      </w:r>
    </w:p>
    <w:p>
      <w:pPr>
        <w:pStyle w:val="ListParagraph"/>
        <w:numPr>
          <w:ilvl w:val="0"/>
          <w:numId w:val="3"/>
        </w:numPr>
        <w:spacing w:after="100" w:line="276"/>
      </w:pPr>
      <w:r>
        <w:rPr>
          <w:rFonts w:ascii="Calibri" w:cs="Calibri" w:eastAsia="Calibri" w:hAnsi="Calibri"/>
          <w:color w:val="1A1A1A"/>
          <w:sz w:val="21"/>
          <w:szCs w:val="21"/>
        </w:rPr>
        <w:t xml:space="preserve">Evidence of a raise after March 2024 — a Form D, a bank balance, or a cap table showing a priced round.</w:t>
      </w:r>
    </w:p>
    <w:p>
      <w:pPr>
        <w:pStyle w:val="ListParagraph"/>
        <w:numPr>
          <w:ilvl w:val="0"/>
          <w:numId w:val="3"/>
        </w:numPr>
        <w:spacing w:after="100" w:line="276"/>
      </w:pPr>
      <w:r>
        <w:rPr>
          <w:rFonts w:ascii="Calibri" w:cs="Calibri" w:eastAsia="Calibri" w:hAnsi="Calibri"/>
          <w:color w:val="1A1A1A"/>
          <w:sz w:val="21"/>
          <w:szCs w:val="21"/>
        </w:rPr>
        <w:t xml:space="preserve">A job-cost ledger on the two completed ADUs showing positive gross margin at the published price.</w:t>
      </w:r>
    </w:p>
    <w:p>
      <w:pPr>
        <w:pStyle w:val="ListParagraph"/>
        <w:numPr>
          <w:ilvl w:val="0"/>
          <w:numId w:val="3"/>
        </w:numPr>
        <w:spacing w:after="100" w:line="276"/>
      </w:pPr>
      <w:r>
        <w:rPr>
          <w:rFonts w:ascii="Calibri" w:cs="Calibri" w:eastAsia="Calibri" w:hAnsi="Calibri"/>
          <w:color w:val="1A1A1A"/>
          <w:sz w:val="21"/>
          <w:szCs w:val="21"/>
        </w:rPr>
        <w:t xml:space="preserve">A signed-contract log showing conversion from the ~40 named prospects at a rate above, say, one in four.</w:t>
      </w:r>
    </w:p>
    <w:p>
      <w:pPr>
        <w:pStyle w:val="ListParagraph"/>
        <w:numPr>
          <w:ilvl w:val="0"/>
          <w:numId w:val="3"/>
        </w:numPr>
        <w:spacing w:after="100" w:line="276"/>
      </w:pPr>
      <w:r>
        <w:rPr>
          <w:rFonts w:ascii="Calibri" w:cs="Calibri" w:eastAsia="Calibri" w:hAnsi="Calibri"/>
          <w:color w:val="1A1A1A"/>
          <w:sz w:val="21"/>
          <w:szCs w:val="21"/>
        </w:rPr>
        <w:t xml:space="preserve">An entry price low enough that a builder's exit multiple still clears a venture return, or a credible argument for why this exits as something other than a builder.</w:t>
      </w:r>
    </w:p>
    <w:p>
      <w:pPr>
        <w:pStyle w:val="ListParagraph"/>
        <w:numPr>
          <w:ilvl w:val="0"/>
          <w:numId w:val="3"/>
        </w:numPr>
        <w:spacing w:after="100" w:line="276"/>
      </w:pPr>
      <w:r>
        <w:rPr>
          <w:rFonts w:ascii="Calibri" w:cs="Calibri" w:eastAsia="Calibri" w:hAnsi="Calibri"/>
          <w:color w:val="1A1A1A"/>
          <w:sz w:val="21"/>
          <w:szCs w:val="21"/>
        </w:rPr>
        <w:t xml:space="preserve">Evidence that the on-site method really does sit outside the HCD factory-built insignia regime. If it does, that is a durable regulatory edge over every volumetric competitor and it belongs at the front of the pitch rather than nowhere in it.</w:t>
      </w:r>
    </w:p>
    <w:p>
      <w:pPr>
        <w:spacing w:after="140" w:line="276"/>
      </w:pPr>
      <w:r>
        <w:rPr>
          <w:rFonts w:ascii="Calibri" w:cs="Calibri" w:eastAsia="Calibri" w:hAnsi="Calibri"/>
          <w:b/>
          <w:bCs/>
          <w:color w:val="1A1A1A"/>
          <w:sz w:val="21"/>
          <w:szCs w:val="21"/>
        </w:rPr>
        <w:t xml:space="preserve">Confidence: medium.</w:t>
      </w:r>
      <w:r>
        <w:rPr>
          <w:rFonts w:ascii="Calibri" w:cs="Calibri" w:eastAsia="Calibri" w:hAnsi="Calibri"/>
          <w:color w:val="1A1A1A"/>
          <w:sz w:val="21"/>
          <w:szCs w:val="21"/>
        </w:rPr>
        <w:t xml:space="preserve"> The descriptive record is unusually good for a private company — published prices, a named robot, three independent site visits, a traceable funding record — so the facts are firm. What is weak is everything on the cost and cash side, where the company has disclosed nothing and no filing exists to force it. A medium-confidence negative on the investment and a genuine positive on the mechanism is a coherent position to hold, and it is the one the evidence supports.</w:t>
      </w:r>
    </w:p>
    <w:p>
      <w:pPr>
        <w:keepNext/>
        <w:keepLines/>
        <w:spacing w:after="140" w:before="340"/>
      </w:pPr>
      <w:r>
        <w:rPr>
          <w:rFonts w:ascii="Cambria" w:cs="Cambria" w:eastAsia="Cambria" w:hAnsi="Cambria"/>
          <w:b/>
          <w:bCs/>
          <w:color w:val="1F3A5F"/>
          <w:sz w:val="27"/>
          <w:szCs w:val="27"/>
        </w:rPr>
        <w:t xml:space="preserve">If you go forward</w:t>
      </w:r>
    </w:p>
    <w:p>
      <w:pPr>
        <w:spacing w:after="140" w:line="276"/>
      </w:pPr>
      <w:r>
        <w:rPr>
          <w:rFonts w:ascii="Calibri" w:cs="Calibri" w:eastAsia="Calibri" w:hAnsi="Calibri"/>
          <w:color w:val="1A1A1A"/>
          <w:sz w:val="21"/>
          <w:szCs w:val="21"/>
        </w:rPr>
        <w:t xml:space="preserve">In the order the sensitivity ranking gives, not the order that is easiest to ask:</w:t>
      </w:r>
    </w:p>
    <w:p>
      <w:pPr>
        <w:pStyle w:val="ListParagraph"/>
        <w:numPr>
          <w:ilvl w:val="0"/>
          <w:numId w:val="6"/>
        </w:numPr>
        <w:spacing w:after="100" w:line="276"/>
      </w:pPr>
      <w:r>
        <w:rPr>
          <w:rFonts w:ascii="Calibri" w:cs="Calibri" w:eastAsia="Calibri" w:hAnsi="Calibri"/>
          <w:b/>
          <w:bCs/>
          <w:color w:val="1A1A1A"/>
          <w:sz w:val="21"/>
          <w:szCs w:val="21"/>
        </w:rPr>
        <w:t xml:space="preserve">How many people it takes to run a job.</w:t>
      </w:r>
      <w:r>
        <w:rPr>
          <w:rFonts w:ascii="Calibri" w:cs="Calibri" w:eastAsia="Calibri" w:hAnsi="Calibri"/>
          <w:color w:val="1A1A1A"/>
          <w:sz w:val="21"/>
          <w:szCs w:val="21"/>
        </w:rPr>
        <w:t xml:space="preserve"> Top of the ranking and a </w:t>
      </w:r>
      <w:r>
        <w:rPr>
          <w:rFonts w:ascii="Calibri" w:cs="Calibri" w:eastAsia="Calibri" w:hAnsi="Calibri"/>
          <w:b/>
          <w:bCs/>
          <w:color w:val="1F3A5F"/>
          <w:sz w:val="21"/>
          <w:szCs w:val="21"/>
        </w:rPr>
        <w:t xml:space="preserve">guess</w:t>
      </w:r>
      <w:r>
        <w:rPr>
          <w:rFonts w:ascii="Calibri" w:cs="Calibri" w:eastAsia="Calibri" w:hAnsi="Calibri"/>
          <w:color w:val="1A1A1A"/>
          <w:sz w:val="21"/>
          <w:szCs w:val="21"/>
        </w:rPr>
        <w:t xml:space="preserve">, worth about $8.1M of swing in five-year cash. It is also the direct test of the company's central claim: the robot is said to cut site labour by roughly 60%, and if it frames faster without changing how many people run the job, the saving does not exist. Ask for the staffing on the two completed units and the one in build — names, roles, days on site. This is the meeting.</w:t>
      </w:r>
    </w:p>
    <w:p>
      <w:pPr>
        <w:pStyle w:val="ListParagraph"/>
        <w:numPr>
          <w:ilvl w:val="0"/>
          <w:numId w:val="6"/>
        </w:numPr>
        <w:spacing w:after="100" w:line="276"/>
      </w:pPr>
      <w:r>
        <w:rPr>
          <w:rFonts w:ascii="Calibri" w:cs="Calibri" w:eastAsia="Calibri" w:hAnsi="Calibri"/>
          <w:b/>
          <w:bCs/>
          <w:color w:val="1A1A1A"/>
          <w:sz w:val="21"/>
          <w:szCs w:val="21"/>
        </w:rPr>
        <w:t xml:space="preserve">Gross margin on what has already been built.</w:t>
      </w:r>
      <w:r>
        <w:rPr>
          <w:rFonts w:ascii="Calibri" w:cs="Calibri" w:eastAsia="Calibri" w:hAnsi="Calibri"/>
          <w:color w:val="1A1A1A"/>
          <w:sz w:val="21"/>
          <w:szCs w:val="21"/>
        </w:rPr>
        <w:t xml:space="preserve"> Second, at about $7.9M, and the only </w:t>
      </w:r>
      <w:r>
        <w:rPr>
          <w:rFonts w:ascii="Calibri" w:cs="Calibri" w:eastAsia="Calibri" w:hAnsi="Calibri"/>
          <w:b/>
          <w:bCs/>
          <w:color w:val="1F3A5F"/>
          <w:sz w:val="21"/>
          <w:szCs w:val="21"/>
        </w:rPr>
        <w:t xml:space="preserve">analog</w:t>
      </w:r>
      <w:r>
        <w:rPr>
          <w:rFonts w:ascii="Calibri" w:cs="Calibri" w:eastAsia="Calibri" w:hAnsi="Calibri"/>
          <w:color w:val="1A1A1A"/>
          <w:sz w:val="21"/>
          <w:szCs w:val="21"/>
        </w:rPr>
        <w:t xml:space="preserve"> near the top — meaning it rests on a peer, not on this company. The two completed ADUs have a job-cost ledger. A fixed-price builder that cannot show margin on its first two units does not yet have a pricing model.</w:t>
      </w:r>
    </w:p>
    <w:p>
      <w:pPr>
        <w:pStyle w:val="ListParagraph"/>
        <w:numPr>
          <w:ilvl w:val="0"/>
          <w:numId w:val="6"/>
        </w:numPr>
        <w:spacing w:after="100" w:line="276"/>
      </w:pPr>
      <w:r>
        <w:rPr>
          <w:rFonts w:ascii="Calibri" w:cs="Calibri" w:eastAsia="Calibri" w:hAnsi="Calibri"/>
          <w:b/>
          <w:bCs/>
          <w:color w:val="1A1A1A"/>
          <w:sz w:val="21"/>
          <w:szCs w:val="21"/>
        </w:rPr>
        <w:t xml:space="preserve">Cash, and the €11M discrepancy.</w:t>
      </w:r>
      <w:r>
        <w:rPr>
          <w:rFonts w:ascii="Calibri" w:cs="Calibri" w:eastAsia="Calibri" w:hAnsi="Calibri"/>
          <w:color w:val="1A1A1A"/>
          <w:sz w:val="21"/>
          <w:szCs w:val="21"/>
        </w:rPr>
        <w:t xml:space="preserve"> Third, at $7.5M. It decides when the company dies rather than whether the model works, but it is one question with a documentary answer.</w:t>
      </w:r>
    </w:p>
    <w:p>
      <w:pPr>
        <w:pStyle w:val="ListParagraph"/>
        <w:numPr>
          <w:ilvl w:val="0"/>
          <w:numId w:val="6"/>
        </w:numPr>
        <w:spacing w:after="100" w:line="276"/>
      </w:pPr>
      <w:r>
        <w:rPr>
          <w:rFonts w:ascii="Calibri" w:cs="Calibri" w:eastAsia="Calibri" w:hAnsi="Calibri"/>
          <w:b/>
          <w:bCs/>
          <w:color w:val="1A1A1A"/>
          <w:sz w:val="21"/>
          <w:szCs w:val="21"/>
        </w:rPr>
        <w:t xml:space="preserve">The licence number.</w:t>
      </w:r>
      <w:r>
        <w:rPr>
          <w:rFonts w:ascii="Calibri" w:cs="Calibri" w:eastAsia="Calibri" w:hAnsi="Calibri"/>
          <w:color w:val="1A1A1A"/>
          <w:sz w:val="21"/>
          <w:szCs w:val="21"/>
        </w:rPr>
        <w:t xml:space="preserve"> Ten minutes, and it tests whether a published claim survives contact with a public register.</w:t>
      </w:r>
    </w:p>
    <w:p>
      <w:pPr>
        <w:spacing w:after="140" w:line="276"/>
      </w:pPr>
      <w:r>
        <w:rPr>
          <w:rFonts w:ascii="Calibri" w:cs="Calibri" w:eastAsia="Calibri" w:hAnsi="Calibri"/>
          <w:b/>
          <w:bCs/>
          <w:color w:val="1A1A1A"/>
          <w:sz w:val="21"/>
          <w:szCs w:val="21"/>
        </w:rPr>
        <w:t xml:space="preserve">What the model says about growth.</w:t>
      </w:r>
      <w:r>
        <w:rPr>
          <w:rFonts w:ascii="Calibri" w:cs="Calibri" w:eastAsia="Calibri" w:hAnsi="Calibri"/>
          <w:color w:val="1A1A1A"/>
          <w:sz w:val="21"/>
          <w:szCs w:val="21"/>
        </w:rPr>
        <w:t xml:space="preserve"> Converting more design clients into contracts barely moves the answer — it ranks near the bottom, at 2% of the largest swing. That is not a modelling artifact, it is the finding: at base margins each delivered home contributes about $39,000 against roughly $3.4M of fixed overhead, so break-even sits near 86 homes a year against 17 in the base case. Selling more of something delivered at a loss does not fix it. Margin per home and cost per job decide this company; volume does not.</w:t>
      </w:r>
    </w:p>
    <w:p>
      <w:pPr>
        <w:spacing w:after="140" w:line="276"/>
      </w:pPr>
      <w:r>
        <w:rPr>
          <w:rFonts w:ascii="Calibri" w:cs="Calibri" w:eastAsia="Calibri" w:hAnsi="Calibri"/>
          <w:color w:val="1A1A1A"/>
          <w:sz w:val="21"/>
          <w:szCs w:val="21"/>
        </w:rPr>
        <w:t xml:space="preserve">And one thing not to spend time on: </w:t>
      </w:r>
      <w:r>
        <w:rPr>
          <w:rFonts w:ascii="Calibri" w:cs="Calibri" w:eastAsia="Calibri" w:hAnsi="Calibri"/>
          <w:b/>
          <w:bCs/>
          <w:color w:val="1A1A1A"/>
          <w:sz w:val="21"/>
          <w:szCs w:val="21"/>
        </w:rPr>
        <w:t xml:space="preserve">the microfactory's throughput.</w:t>
      </w:r>
      <w:r>
        <w:rPr>
          <w:rFonts w:ascii="Calibri" w:cs="Calibri" w:eastAsia="Calibri" w:hAnsi="Calibri"/>
          <w:color w:val="1A1A1A"/>
          <w:sz w:val="21"/>
          <w:szCs w:val="21"/>
        </w:rPr>
        <w:t xml:space="preserve"> It is the number every article quotes, and across every scenario here it is the only assumption with </w:t>
      </w:r>
      <w:r>
        <w:rPr>
          <w:rFonts w:ascii="Calibri" w:cs="Calibri" w:eastAsia="Calibri" w:hAnsi="Calibri"/>
          <w:i/>
          <w:iCs/>
          <w:color w:val="1A1A1A"/>
          <w:sz w:val="21"/>
          <w:szCs w:val="21"/>
        </w:rPr>
        <w:t xml:space="preserve">zero</w:t>
      </w:r>
      <w:r>
        <w:rPr>
          <w:rFonts w:ascii="Calibri" w:cs="Calibri" w:eastAsia="Calibri" w:hAnsi="Calibri"/>
          <w:color w:val="1A1A1A"/>
          <w:sz w:val="21"/>
          <w:szCs w:val="21"/>
        </w:rPr>
        <w:t xml:space="preserve"> effect on the answer — capacity never binds, because the company cannot sell houses fast enough to keep one cell busy. Adding cells actively worsens the cash position. If the meeting turns into a demonstration of the robot, that is the meeting going wrong.</w:t>
      </w:r>
    </w:p>
    <w:p>
      <w:pPr>
        <w:pBdr>
          <w:top w:val="single" w:color="D9D9D9" w:sz="4"/>
        </w:pBdr>
        <w:spacing w:after="0" w:before="240"/>
      </w:pPr>
      <w:r>
        <w:rPr>
          <w:rFonts w:ascii="Calibri" w:cs="Calibri" w:eastAsia="Calibri" w:hAnsi="Calibri"/>
          <w:i/>
          <w:iCs/>
          <w:color w:val="5A5A5A"/>
          <w:sz w:val="17"/>
          <w:szCs w:val="17"/>
        </w:rPr>
        <w:t xml:space="preserve">Prepared under the company-workup method: every material number carries a derivation tier and an independence grade, the bear case is written before the verdict, and absences are reported as findings. Public records only, as of 16 September 2026.</w:t>
      </w:r>
    </w:p>
    <w:sectPr>
      <w:headerReference w:type="default" r:id="rId7"/>
      <w:headerReference w:type="first" r:id="rId8"/>
      <w:footerReference w:type="default" r:id="rId9"/>
      <w:footerReference w:type="first" r:id="rId10"/>
      <w:pgSz w:w="12240" w:h="15840" w:orient="portrait"/>
      <w:pgMar w:top="1150" w:right="1440" w:bottom="115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pBdr>
      <w:tabs>
        <w:tab w:val="center" w:pos="4680"/>
        <w:tab w:val="right" w:pos="9360"/>
      </w:tabs>
      <w:spacing w:after="0" w:before="60"/>
    </w:pPr>
    <w:r>
      <w:rPr>
        <w:rFonts w:ascii="Calibri" w:cs="Calibri" w:eastAsia="Calibri" w:hAnsi="Calibri"/>
        <w:i w:val="false"/>
        <w:iCs w:val="false"/>
        <w:color w:val="5A5A5A"/>
        <w:sz w:val="16"/>
        <w:szCs w:val="16"/>
      </w:rPr>
      <w:t xml:space="preserve">Cosmic Buildings — Workup</w:t>
    </w:r>
    <w:r>
      <w:rPr>
        <w:rFonts w:ascii="Calibri" w:cs="Calibri" w:eastAsia="Calibri" w:hAnsi="Calibri"/>
        <w:i w:val="false"/>
        <w:iCs w:val="false"/>
        <w:color w:val="5A5A5A"/>
        <w:sz w:val="16"/>
        <w:szCs w:val="16"/>
      </w:rPr>
      <w:t xml:space="preserve">	Public records only · Not investment advice</w:t>
    </w:r>
    <w:r>
      <w:rPr>
        <w:rFonts w:ascii="Calibri" w:cs="Calibri" w:eastAsia="Calibri" w:hAnsi="Calibri"/>
        <w:i w:val="false"/>
        <w:iCs w:val="false"/>
        <w:color w:val="5A5A5A"/>
        <w:sz w:val="16"/>
        <w:szCs w:val="16"/>
      </w:rPr>
      <w:t xml:space="preserve">	Page </w:t>
    </w:r>
    <w:r>
      <w:rPr>
        <w:rFonts w:ascii="Calibri" w:cs="Calibri" w:eastAsia="Calibri" w:hAnsi="Calibri"/>
        <w:i w:val="false"/>
        <w:iCs w:val="false"/>
        <w:color w:val="5A5A5A"/>
        <w:sz w:val="16"/>
        <w:szCs w:val="16"/>
      </w:rPr>
      <w:fldChar w:fldCharType="begin"/>
      <w:instrText xml:space="preserve">PAGE</w:instrText>
      <w:fldChar w:fldCharType="separate"/>
      <w:fldChar w:fldCharType="end"/>
    </w:r>
    <w:r>
      <w:rPr>
        <w:rFonts w:ascii="Calibri" w:cs="Calibri" w:eastAsia="Calibri" w:hAnsi="Calibri"/>
        <w:i w:val="false"/>
        <w:iCs w:val="false"/>
        <w:color w:val="5A5A5A"/>
        <w:sz w:val="16"/>
        <w:szCs w:val="16"/>
      </w:rPr>
      <w:t xml:space="preserve"> of </w:t>
    </w:r>
    <w:r>
      <w:rPr>
        <w:rFonts w:ascii="Calibri" w:cs="Calibri" w:eastAsia="Calibri" w:hAnsi="Calibri"/>
        <w:i w:val="false"/>
        <w:iCs w:val="false"/>
        <w:color w:val="5A5A5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pBdr>
      <w:tabs>
        <w:tab w:val="center" w:pos="4680"/>
        <w:tab w:val="right" w:pos="9360"/>
      </w:tabs>
      <w:spacing w:after="0" w:before="60"/>
    </w:pPr>
    <w:r>
      <w:rPr>
        <w:rFonts w:ascii="Calibri" w:cs="Calibri" w:eastAsia="Calibri" w:hAnsi="Calibri"/>
        <w:i w:val="false"/>
        <w:iCs w:val="false"/>
        <w:color w:val="5A5A5A"/>
        <w:sz w:val="16"/>
        <w:szCs w:val="16"/>
      </w:rPr>
      <w:t xml:space="preserve">Cosmic Buildings — Workup</w:t>
    </w:r>
    <w:r>
      <w:rPr>
        <w:rFonts w:ascii="Calibri" w:cs="Calibri" w:eastAsia="Calibri" w:hAnsi="Calibri"/>
        <w:i w:val="false"/>
        <w:iCs w:val="false"/>
        <w:color w:val="5A5A5A"/>
        <w:sz w:val="16"/>
        <w:szCs w:val="16"/>
      </w:rPr>
      <w:t xml:space="preserve">	Public records only · Not investment advice</w:t>
    </w:r>
    <w:r>
      <w:rPr>
        <w:rFonts w:ascii="Calibri" w:cs="Calibri" w:eastAsia="Calibri" w:hAnsi="Calibri"/>
        <w:i w:val="false"/>
        <w:iCs w:val="false"/>
        <w:color w:val="5A5A5A"/>
        <w:sz w:val="16"/>
        <w:szCs w:val="16"/>
      </w:rPr>
      <w:t xml:space="preserve">	Page </w:t>
    </w:r>
    <w:r>
      <w:rPr>
        <w:rFonts w:ascii="Calibri" w:cs="Calibri" w:eastAsia="Calibri" w:hAnsi="Calibri"/>
        <w:i w:val="false"/>
        <w:iCs w:val="false"/>
        <w:color w:val="5A5A5A"/>
        <w:sz w:val="16"/>
        <w:szCs w:val="16"/>
      </w:rPr>
      <w:fldChar w:fldCharType="begin"/>
      <w:instrText xml:space="preserve">PAGE</w:instrText>
      <w:fldChar w:fldCharType="separate"/>
      <w:fldChar w:fldCharType="end"/>
    </w:r>
    <w:r>
      <w:rPr>
        <w:rFonts w:ascii="Calibri" w:cs="Calibri" w:eastAsia="Calibri" w:hAnsi="Calibri"/>
        <w:i w:val="false"/>
        <w:iCs w:val="false"/>
        <w:color w:val="5A5A5A"/>
        <w:sz w:val="16"/>
        <w:szCs w:val="16"/>
      </w:rPr>
      <w:t xml:space="preserve"> of </w:t>
    </w:r>
    <w:r>
      <w:rPr>
        <w:rFonts w:ascii="Calibri" w:cs="Calibri" w:eastAsia="Calibri" w:hAnsi="Calibri"/>
        <w:i w:val="false"/>
        <w:iCs w:val="false"/>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pBdr>
      <w:tabs>
        <w:tab w:val="right" w:pos="9360"/>
      </w:tabs>
      <w:spacing w:after="0"/>
    </w:pPr>
    <w:r>
      <w:rPr>
        <w:rFonts w:ascii="Calibri" w:cs="Calibri" w:eastAsia="Calibri" w:hAnsi="Calibri"/>
        <w:b/>
        <w:bCs/>
        <w:color w:val="1F3A5F"/>
        <w:spacing w:val="20"/>
        <w:sz w:val="16"/>
        <w:szCs w:val="16"/>
      </w:rPr>
      <w:t xml:space="preserve">BEN MEYER</w:t>
    </w:r>
    <w:r>
      <w:rPr>
        <w:rFonts w:ascii="Calibri" w:cs="Calibri" w:eastAsia="Calibri" w:hAnsi="Calibri"/>
        <w:color w:val="5A5A5A"/>
        <w:sz w:val="16"/>
        <w:szCs w:val="16"/>
      </w:rPr>
      <w:t xml:space="preserve">	Cosmic Buildings — Workup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20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abstractNum w:abstractNumId="5" w15:restartNumberingAfterBreak="0">
    <w:multiLevelType w:val="hybridMultilevel"/>
    <w:lvl w:ilvl="0" w15:tentative="1">
      <w:start w:val="1"/>
      <w:numFmt w:val="decimal"/>
      <w:lvlText w:val="%1."/>
      <w:lvlJc w:val="left"/>
      <w:pPr>
        <w:ind w:left="360" w:hanging="260"/>
      </w:pPr>
    </w:lvl>
  </w:abstractNum>
  <w:abstractNum w:abstractNumId="6"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Cosmic Buildings Inc.</dc:title>
  <dc:creator>Ben Meyer</dc:creator>
  <dc:description>Robotic on-site homebuilding for ADUs and single-family rebuilds — private, pre-Series A, Los Angeles and San Francisco</dc:description>
  <cp:lastModifiedBy>Ben Meyer</cp:lastModifiedBy>
  <cp:revision>1</cp:revision>
  <dcterms:created xsi:type="dcterms:W3CDTF">2026-09-16T18:59:36.135Z</dcterms:created>
  <dcterms:modified xsi:type="dcterms:W3CDTF">2026-09-16T18:59:36.136Z</dcterms:modified>
</cp:coreProperties>
</file>

<file path=docProps/custom.xml><?xml version="1.0" encoding="utf-8"?>
<Properties xmlns="http://schemas.openxmlformats.org/officeDocument/2006/custom-properties" xmlns:vt="http://schemas.openxmlformats.org/officeDocument/2006/docPropsVTypes"/>
</file>