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8C03" w14:textId="77777777" w:rsidR="0070387D" w:rsidRDefault="008B6066">
      <w:pPr>
        <w:jc w:val="center"/>
      </w:pPr>
      <w:r>
        <w:rPr>
          <w:rFonts w:ascii="Calibri" w:hAnsi="Calibri"/>
          <w:b/>
          <w:color w:val="003366"/>
          <w:sz w:val="44"/>
        </w:rPr>
        <w:t>AI-Driven Credit Risk Assessment &amp; Loan Default Prediction</w:t>
      </w:r>
      <w:r>
        <w:rPr>
          <w:rFonts w:ascii="Calibri" w:hAnsi="Calibri"/>
          <w:b/>
          <w:color w:val="003366"/>
          <w:sz w:val="44"/>
        </w:rPr>
        <w:br/>
      </w:r>
    </w:p>
    <w:p w14:paraId="299722F0" w14:textId="77777777" w:rsidR="0070387D" w:rsidRDefault="008B6066">
      <w:pPr>
        <w:jc w:val="center"/>
      </w:pPr>
      <w:r>
        <w:rPr>
          <w:rFonts w:ascii="Calibri" w:hAnsi="Calibri"/>
          <w:i/>
          <w:sz w:val="26"/>
        </w:rPr>
        <w:t>Comprehensive Internship Project Report</w:t>
      </w:r>
      <w:r>
        <w:rPr>
          <w:rFonts w:ascii="Calibri" w:hAnsi="Calibri"/>
          <w:i/>
          <w:sz w:val="26"/>
        </w:rPr>
        <w:br/>
        <w:t>AICTE | IBM SkillsBuild Data Analytics with AI Academic Internship</w:t>
      </w:r>
      <w:r>
        <w:rPr>
          <w:rFonts w:ascii="Calibri" w:hAnsi="Calibri"/>
          <w:i/>
          <w:sz w:val="26"/>
        </w:rPr>
        <w:br/>
        <w:t>Conducted in Partnership with BharatCares</w:t>
      </w:r>
    </w:p>
    <w:p w14:paraId="26240E7B" w14:textId="77777777" w:rsidR="0070387D" w:rsidRDefault="007038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0387D" w14:paraId="38B12D7C" w14:textId="77777777">
        <w:trPr>
          <w:jc w:val="center"/>
        </w:trPr>
        <w:tc>
          <w:tcPr>
            <w:tcW w:w="4680" w:type="dxa"/>
          </w:tcPr>
          <w:p w14:paraId="504C4E7D" w14:textId="77777777" w:rsidR="0070387D" w:rsidRDefault="008B6066">
            <w:r>
              <w:rPr>
                <w:b/>
              </w:rPr>
              <w:t>Student / Intern Name</w:t>
            </w:r>
          </w:p>
        </w:tc>
        <w:tc>
          <w:tcPr>
            <w:tcW w:w="4680" w:type="dxa"/>
          </w:tcPr>
          <w:p w14:paraId="1A6BE808" w14:textId="77777777" w:rsidR="0070387D" w:rsidRDefault="008B6066">
            <w:r>
              <w:t>Soumojit Manna</w:t>
            </w:r>
          </w:p>
        </w:tc>
      </w:tr>
      <w:tr w:rsidR="0070387D" w14:paraId="0911F116" w14:textId="77777777">
        <w:trPr>
          <w:jc w:val="center"/>
        </w:trPr>
        <w:tc>
          <w:tcPr>
            <w:tcW w:w="4680" w:type="dxa"/>
          </w:tcPr>
          <w:p w14:paraId="002AB8D4" w14:textId="77777777" w:rsidR="0070387D" w:rsidRDefault="008B6066">
            <w:r>
              <w:rPr>
                <w:b/>
              </w:rPr>
              <w:t>Domain / Specialization</w:t>
            </w:r>
          </w:p>
        </w:tc>
        <w:tc>
          <w:tcPr>
            <w:tcW w:w="4680" w:type="dxa"/>
          </w:tcPr>
          <w:p w14:paraId="02015B23" w14:textId="77777777" w:rsidR="0070387D" w:rsidRDefault="008B6066">
            <w:r>
              <w:t>Banking &amp; Financial Services (Credit Risk Analytics)</w:t>
            </w:r>
          </w:p>
        </w:tc>
      </w:tr>
      <w:tr w:rsidR="0070387D" w14:paraId="3A55AF6C" w14:textId="77777777">
        <w:trPr>
          <w:jc w:val="center"/>
        </w:trPr>
        <w:tc>
          <w:tcPr>
            <w:tcW w:w="4680" w:type="dxa"/>
          </w:tcPr>
          <w:p w14:paraId="105A90A8" w14:textId="77777777" w:rsidR="0070387D" w:rsidRDefault="008B6066">
            <w:r>
              <w:rPr>
                <w:b/>
              </w:rPr>
              <w:t>AI Development Workspace</w:t>
            </w:r>
          </w:p>
        </w:tc>
        <w:tc>
          <w:tcPr>
            <w:tcW w:w="4680" w:type="dxa"/>
          </w:tcPr>
          <w:p w14:paraId="7D6C2F0B" w14:textId="77777777" w:rsidR="0070387D" w:rsidRDefault="008B6066">
            <w:r>
              <w:t>IBM Bob (Primary IDE) &amp; Gemini (AI Analytics Co-Pilot)</w:t>
            </w:r>
          </w:p>
        </w:tc>
      </w:tr>
      <w:tr w:rsidR="0070387D" w14:paraId="32956DF9" w14:textId="77777777">
        <w:trPr>
          <w:jc w:val="center"/>
        </w:trPr>
        <w:tc>
          <w:tcPr>
            <w:tcW w:w="4680" w:type="dxa"/>
          </w:tcPr>
          <w:p w14:paraId="04378C31" w14:textId="77777777" w:rsidR="0070387D" w:rsidRDefault="008B6066">
            <w:r>
              <w:rPr>
                <w:b/>
              </w:rPr>
              <w:t>Core Machine Learning Framework</w:t>
            </w:r>
          </w:p>
        </w:tc>
        <w:tc>
          <w:tcPr>
            <w:tcW w:w="4680" w:type="dxa"/>
          </w:tcPr>
          <w:p w14:paraId="6209F1FD" w14:textId="77777777" w:rsidR="0070387D" w:rsidRDefault="008B6066">
            <w:r>
              <w:t>Scikit-Learn (Balanced Logistic Regression &amp; Pipeline)</w:t>
            </w:r>
          </w:p>
        </w:tc>
      </w:tr>
      <w:tr w:rsidR="0070387D" w14:paraId="0EAFFE6F" w14:textId="77777777">
        <w:trPr>
          <w:jc w:val="center"/>
        </w:trPr>
        <w:tc>
          <w:tcPr>
            <w:tcW w:w="4680" w:type="dxa"/>
          </w:tcPr>
          <w:p w14:paraId="29A8B4FD" w14:textId="77777777" w:rsidR="0070387D" w:rsidRDefault="008B6066">
            <w:r>
              <w:rPr>
                <w:b/>
              </w:rPr>
              <w:t>Interacti</w:t>
            </w:r>
            <w:r>
              <w:rPr>
                <w:b/>
              </w:rPr>
              <w:t>ve Application</w:t>
            </w:r>
          </w:p>
        </w:tc>
        <w:tc>
          <w:tcPr>
            <w:tcW w:w="4680" w:type="dxa"/>
          </w:tcPr>
          <w:p w14:paraId="483404FB" w14:textId="77777777" w:rsidR="0070387D" w:rsidRDefault="008B6066">
            <w:r>
              <w:t>Streamlit Multi-Tier Business Intelligence Engine</w:t>
            </w:r>
          </w:p>
        </w:tc>
      </w:tr>
    </w:tbl>
    <w:p w14:paraId="10C0955C" w14:textId="77777777" w:rsidR="0070387D" w:rsidRDefault="0070387D"/>
    <w:p w14:paraId="472EA444" w14:textId="77777777" w:rsidR="0070387D" w:rsidRDefault="008B6066">
      <w:pPr>
        <w:pStyle w:val="Heading1"/>
        <w:spacing w:before="240" w:after="120"/>
      </w:pPr>
      <w:r>
        <w:t>1. Executive Summary</w:t>
      </w:r>
    </w:p>
    <w:p w14:paraId="6360A73B" w14:textId="77777777" w:rsidR="0070387D" w:rsidRDefault="008B6066">
      <w:r>
        <w:t>Credit default represents the most significant source of capital impairment in retail banking. This project develops an end-to-end data analytics and predictive modelin</w:t>
      </w:r>
      <w:r>
        <w:t xml:space="preserve">g system designed to classify borrower default risk across a portfolio of 20,000 consumer loan accounts. Evaluators mandated the implementation of the 5-Level Business Intelligence Decision Hierarchy, transitioning raw transactional data into prescriptive </w:t>
      </w:r>
      <w:r>
        <w:t>executive actions. By deliberately prioritizing default recall over superficial accuracy, the production model mitigates asymmetric loss, achieving an estimated $2,554,200.00 in capital preservation across a 4,000-loan holdout evaluation set.</w:t>
      </w:r>
    </w:p>
    <w:p w14:paraId="0DFC7D2B" w14:textId="77777777" w:rsidR="0070387D" w:rsidRDefault="008B6066">
      <w:pPr>
        <w:pStyle w:val="Heading1"/>
        <w:spacing w:before="240" w:after="120"/>
      </w:pPr>
      <w:r>
        <w:t>2. Problem St</w:t>
      </w:r>
      <w:r>
        <w:t>atement &amp; Asymmetric Loss Framework</w:t>
      </w:r>
    </w:p>
    <w:p w14:paraId="2A5AA254" w14:textId="77777777" w:rsidR="0070387D" w:rsidRDefault="008B6066">
      <w:r>
        <w:t>Retail loan underwriting presents an inherent financial asymmetry. A lending institution encounters two distinct types of classification error:</w:t>
      </w:r>
    </w:p>
    <w:p w14:paraId="721243D5" w14:textId="77777777" w:rsidR="0070387D" w:rsidRDefault="008B6066">
      <w:pPr>
        <w:pStyle w:val="ListBullet"/>
      </w:pPr>
      <w:r>
        <w:rPr>
          <w:b/>
        </w:rPr>
        <w:t xml:space="preserve">False Negative (Missed Default): </w:t>
      </w:r>
      <w:r>
        <w:t xml:space="preserve">Approving a borrower who defaults </w:t>
      </w:r>
      <w:r>
        <w:t>results in catastrophic balance sheet loss, averaging $15,000 in unrecovered loan principal.</w:t>
      </w:r>
    </w:p>
    <w:p w14:paraId="41C141FB" w14:textId="77777777" w:rsidR="0070387D" w:rsidRDefault="008B6066">
      <w:pPr>
        <w:pStyle w:val="ListBullet"/>
      </w:pPr>
      <w:r>
        <w:rPr>
          <w:b/>
        </w:rPr>
        <w:lastRenderedPageBreak/>
        <w:t xml:space="preserve">False Positive (False Alarm): </w:t>
      </w:r>
      <w:r>
        <w:t>Flagging a safe borrower incurs only a marginal administrative cost of approximately $50 for a loan officer to manually audit financi</w:t>
      </w:r>
      <w:r>
        <w:t>al documents.</w:t>
      </w:r>
    </w:p>
    <w:p w14:paraId="2E0D20E9" w14:textId="77777777" w:rsidR="0070387D" w:rsidRDefault="008B6066">
      <w:r>
        <w:t>Consequently, optimizing for raw classification accuracy produces a severe operational failure. Machine learning models that optimize for overall accuracy tend to predict the majority non-default class (80%), ignoring default risk and generat</w:t>
      </w:r>
      <w:r>
        <w:t>ing substantial bad debt. This project implements class-balanced learning to optimize for Recall on Class 0 (Default).</w:t>
      </w:r>
    </w:p>
    <w:p w14:paraId="48B4659B" w14:textId="77777777" w:rsidR="0070387D" w:rsidRDefault="008B6066">
      <w:pPr>
        <w:pStyle w:val="Heading1"/>
        <w:spacing w:before="240" w:after="120"/>
      </w:pPr>
      <w:r>
        <w:t>3. Exploratory Data Analysis &amp; Feature Anatomy</w:t>
      </w:r>
    </w:p>
    <w:p w14:paraId="4BAAD8C7" w14:textId="77777777" w:rsidR="0070387D" w:rsidRDefault="008B6066">
      <w:r>
        <w:t>The dataset consists of 20,000 records across 21 predictor features and 1 target attribute</w:t>
      </w:r>
      <w:r>
        <w:t xml:space="preserve"> (loan_paid_back). Following institutional analytics governance, findings were structured using the 4-step narrative framework: [Observation] -&gt; [Insight] -&gt; [Hypothesis] -&gt; [Recommendation].</w:t>
      </w:r>
    </w:p>
    <w:p w14:paraId="744B3297" w14:textId="77777777" w:rsidR="0070387D" w:rsidRDefault="008B6066">
      <w:r>
        <w:rPr>
          <w:b/>
        </w:rPr>
        <w:t>A. Leverage &amp; Debt Burden (Debt-to-Income Ratio):</w:t>
      </w:r>
      <w:r>
        <w:rPr>
          <w:b/>
        </w:rPr>
        <w:br/>
      </w:r>
      <w:r>
        <w:t>• Observation:</w:t>
      </w:r>
      <w:r>
        <w:t xml:space="preserve"> Defaulters demonstrate a median DTI of 0.21 compared to 0.15 for non-defaulters, representing a 40.0% higher debt burden.</w:t>
      </w:r>
      <w:r>
        <w:br/>
        <w:t>• Insight: High income does not insulate borrowers against debt servicing failure when baseline leverage is elevated.</w:t>
      </w:r>
      <w:r>
        <w:br/>
        <w:t>• Hypothesis: B</w:t>
      </w:r>
      <w:r>
        <w:t>orrowers with DTI exceeding 0.20 possess narrow discretionary cash cushions, rendering them vulnerable to macro shocks.</w:t>
      </w:r>
      <w:r>
        <w:br/>
        <w:t>• Recommendation: Enforce automated underwriting restrictions and require secondary co-signers when applicant DTI crosses 0.25.</w:t>
      </w:r>
    </w:p>
    <w:p w14:paraId="03E0C511" w14:textId="77777777" w:rsidR="0070387D" w:rsidRDefault="008B6066">
      <w:r>
        <w:rPr>
          <w:b/>
        </w:rPr>
        <w:t>B. Multi</w:t>
      </w:r>
      <w:r>
        <w:rPr>
          <w:b/>
        </w:rPr>
        <w:t>collinearity &amp; Data Hygiene Audit:</w:t>
      </w:r>
      <w:r>
        <w:rPr>
          <w:b/>
        </w:rPr>
        <w:br/>
      </w:r>
      <w:r>
        <w:t>An empirical audit revealed a correlation of 1.000000 between annual_income and monthly_income. Because monthly income is strictly annual income divided by 12, retaining both features introduces perfect multicollinearity.</w:t>
      </w:r>
      <w:r>
        <w:t xml:space="preserve"> To maintain numerical stability in regression estimators, monthly_income was dropped from the modeling matrix.</w:t>
      </w:r>
    </w:p>
    <w:p w14:paraId="60F4DA8A" w14:textId="77777777" w:rsidR="0070387D" w:rsidRDefault="008B6066">
      <w:pPr>
        <w:pStyle w:val="Heading1"/>
        <w:spacing w:before="240" w:after="120"/>
      </w:pPr>
      <w:r>
        <w:t>4. Predictive Modeling &amp; Balance Sheet Simulation</w:t>
      </w:r>
    </w:p>
    <w:p w14:paraId="2C70D745" w14:textId="77777777" w:rsidR="0070387D" w:rsidRDefault="008B6066">
      <w:r>
        <w:t xml:space="preserve">Models were trained using an 80/20 stratified split (16,000 training instances, 4,000 holdout </w:t>
      </w:r>
      <w:r>
        <w:t>testing instances) to guarantee that the 79.99% / 20.01% class distribution was preserved across both partitions. Continuous features were scaled via StandardScaler, and nominal attributes were transformed via OneHotEncoder(drop='first').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681"/>
      </w:tblGrid>
      <w:tr w:rsidR="0070387D" w14:paraId="4E5672C9" w14:textId="77777777">
        <w:trPr>
          <w:jc w:val="center"/>
        </w:trPr>
        <w:tc>
          <w:tcPr>
            <w:tcW w:w="1560" w:type="dxa"/>
          </w:tcPr>
          <w:p w14:paraId="7FFF448F" w14:textId="77777777" w:rsidR="0070387D" w:rsidRDefault="008B6066">
            <w:r>
              <w:rPr>
                <w:b/>
              </w:rPr>
              <w:t>Model</w:t>
            </w:r>
          </w:p>
        </w:tc>
        <w:tc>
          <w:tcPr>
            <w:tcW w:w="1560" w:type="dxa"/>
          </w:tcPr>
          <w:p w14:paraId="7EF621A0" w14:textId="77777777" w:rsidR="0070387D" w:rsidRDefault="008B6066">
            <w:r>
              <w:rPr>
                <w:b/>
              </w:rPr>
              <w:t>Accuracy</w:t>
            </w:r>
          </w:p>
        </w:tc>
        <w:tc>
          <w:tcPr>
            <w:tcW w:w="1560" w:type="dxa"/>
          </w:tcPr>
          <w:p w14:paraId="4374E4BF" w14:textId="77777777" w:rsidR="0070387D" w:rsidRDefault="008B6066">
            <w:r>
              <w:rPr>
                <w:b/>
              </w:rPr>
              <w:t>De</w:t>
            </w:r>
            <w:r>
              <w:rPr>
                <w:b/>
              </w:rPr>
              <w:t>fault Recall</w:t>
            </w:r>
          </w:p>
        </w:tc>
        <w:tc>
          <w:tcPr>
            <w:tcW w:w="1560" w:type="dxa"/>
          </w:tcPr>
          <w:p w14:paraId="76784355" w14:textId="77777777" w:rsidR="0070387D" w:rsidRDefault="008B6066">
            <w:r>
              <w:rPr>
                <w:b/>
              </w:rPr>
              <w:t>Missed Defaults</w:t>
            </w:r>
          </w:p>
        </w:tc>
        <w:tc>
          <w:tcPr>
            <w:tcW w:w="1560" w:type="dxa"/>
          </w:tcPr>
          <w:p w14:paraId="7EBC0CCF" w14:textId="77777777" w:rsidR="0070387D" w:rsidRDefault="008B6066">
            <w:r>
              <w:rPr>
                <w:b/>
              </w:rPr>
              <w:t>False Alarms</w:t>
            </w:r>
          </w:p>
        </w:tc>
        <w:tc>
          <w:tcPr>
            <w:tcW w:w="1560" w:type="dxa"/>
          </w:tcPr>
          <w:p w14:paraId="0F446800" w14:textId="77777777" w:rsidR="0070387D" w:rsidRDefault="008B6066">
            <w:r>
              <w:rPr>
                <w:b/>
              </w:rPr>
              <w:t>Net Capital Preserved</w:t>
            </w:r>
          </w:p>
        </w:tc>
      </w:tr>
      <w:tr w:rsidR="0070387D" w14:paraId="2951E32C" w14:textId="77777777">
        <w:trPr>
          <w:jc w:val="center"/>
        </w:trPr>
        <w:tc>
          <w:tcPr>
            <w:tcW w:w="1560" w:type="dxa"/>
          </w:tcPr>
          <w:p w14:paraId="657E57FE" w14:textId="77777777" w:rsidR="0070387D" w:rsidRDefault="008B6066">
            <w:r>
              <w:t>Logistic Regression (Balanced)</w:t>
            </w:r>
          </w:p>
        </w:tc>
        <w:tc>
          <w:tcPr>
            <w:tcW w:w="1560" w:type="dxa"/>
          </w:tcPr>
          <w:p w14:paraId="3B029659" w14:textId="77777777" w:rsidR="0070387D" w:rsidRDefault="008B6066">
            <w:r>
              <w:t>81%</w:t>
            </w:r>
          </w:p>
        </w:tc>
        <w:tc>
          <w:tcPr>
            <w:tcW w:w="1560" w:type="dxa"/>
          </w:tcPr>
          <w:p w14:paraId="6D4E9D76" w14:textId="77777777" w:rsidR="0070387D" w:rsidRDefault="008B6066">
            <w:r>
              <w:t>73%</w:t>
            </w:r>
          </w:p>
        </w:tc>
        <w:tc>
          <w:tcPr>
            <w:tcW w:w="1560" w:type="dxa"/>
          </w:tcPr>
          <w:p w14:paraId="7BFB9C7E" w14:textId="77777777" w:rsidR="0070387D" w:rsidRDefault="008B6066">
            <w:r>
              <w:t>212</w:t>
            </w:r>
          </w:p>
        </w:tc>
        <w:tc>
          <w:tcPr>
            <w:tcW w:w="1560" w:type="dxa"/>
          </w:tcPr>
          <w:p w14:paraId="7EAF8BE0" w14:textId="77777777" w:rsidR="0070387D" w:rsidRDefault="008B6066">
            <w:r>
              <w:t>533</w:t>
            </w:r>
          </w:p>
        </w:tc>
        <w:tc>
          <w:tcPr>
            <w:tcW w:w="1560" w:type="dxa"/>
          </w:tcPr>
          <w:p w14:paraId="2F960531" w14:textId="77777777" w:rsidR="0070387D" w:rsidRDefault="008B6066">
            <w:r>
              <w:t>+$2,554,200.00</w:t>
            </w:r>
          </w:p>
        </w:tc>
      </w:tr>
      <w:tr w:rsidR="0070387D" w14:paraId="7CC36428" w14:textId="77777777">
        <w:trPr>
          <w:jc w:val="center"/>
        </w:trPr>
        <w:tc>
          <w:tcPr>
            <w:tcW w:w="1560" w:type="dxa"/>
          </w:tcPr>
          <w:p w14:paraId="4584D591" w14:textId="77777777" w:rsidR="0070387D" w:rsidRDefault="008B6066">
            <w:r>
              <w:t xml:space="preserve">Random Forest </w:t>
            </w:r>
            <w:r>
              <w:lastRenderedPageBreak/>
              <w:t>(Balanced)</w:t>
            </w:r>
          </w:p>
        </w:tc>
        <w:tc>
          <w:tcPr>
            <w:tcW w:w="1560" w:type="dxa"/>
          </w:tcPr>
          <w:p w14:paraId="1401F990" w14:textId="77777777" w:rsidR="0070387D" w:rsidRDefault="008B6066">
            <w:r>
              <w:lastRenderedPageBreak/>
              <w:t>90%</w:t>
            </w:r>
          </w:p>
        </w:tc>
        <w:tc>
          <w:tcPr>
            <w:tcW w:w="1560" w:type="dxa"/>
          </w:tcPr>
          <w:p w14:paraId="2ACFD3A5" w14:textId="77777777" w:rsidR="0070387D" w:rsidRDefault="008B6066">
            <w:r>
              <w:t>52%</w:t>
            </w:r>
          </w:p>
        </w:tc>
        <w:tc>
          <w:tcPr>
            <w:tcW w:w="1560" w:type="dxa"/>
          </w:tcPr>
          <w:p w14:paraId="01F71B9D" w14:textId="77777777" w:rsidR="0070387D" w:rsidRDefault="008B6066">
            <w:r>
              <w:t>384</w:t>
            </w:r>
          </w:p>
        </w:tc>
        <w:tc>
          <w:tcPr>
            <w:tcW w:w="1560" w:type="dxa"/>
          </w:tcPr>
          <w:p w14:paraId="7FEB1220" w14:textId="77777777" w:rsidR="0070387D" w:rsidRDefault="008B6066">
            <w:r>
              <w:t>17</w:t>
            </w:r>
          </w:p>
        </w:tc>
        <w:tc>
          <w:tcPr>
            <w:tcW w:w="1560" w:type="dxa"/>
          </w:tcPr>
          <w:p w14:paraId="78234963" w14:textId="77777777" w:rsidR="0070387D" w:rsidRDefault="008B6066">
            <w:r>
              <w:t>Baseline ($0)</w:t>
            </w:r>
          </w:p>
        </w:tc>
      </w:tr>
    </w:tbl>
    <w:p w14:paraId="6EE642D9" w14:textId="77777777" w:rsidR="0070387D" w:rsidRDefault="0070387D"/>
    <w:p w14:paraId="129F6377" w14:textId="77777777" w:rsidR="0070387D" w:rsidRDefault="008B6066">
      <w:r>
        <w:t xml:space="preserve">While Random Forest achieved 90% accuracy, its lower default </w:t>
      </w:r>
      <w:r>
        <w:t>recall (52%) missed 384 defaulting borrowers, producing $5,760,850.00 in portfolio damage. In contrast, Logistic Regression achieved 73% recall on defaults, missing only 212 borrowers and generating $3,206,650.00 in total cost. Selecting Logistic Regressio</w:t>
      </w:r>
      <w:r>
        <w:t>n preserves $2,554,200.00 in capital.</w:t>
      </w:r>
    </w:p>
    <w:p w14:paraId="07B77D9D" w14:textId="77777777" w:rsidR="0070387D" w:rsidRDefault="008B6066">
      <w:pPr>
        <w:pStyle w:val="Heading1"/>
        <w:spacing w:before="240" w:after="120"/>
      </w:pPr>
      <w:r>
        <w:t>5. Implementation of 5-Level BI Decision Hierarchy</w:t>
      </w:r>
    </w:p>
    <w:p w14:paraId="255A980C" w14:textId="77777777" w:rsidR="0070387D" w:rsidRDefault="008B6066">
      <w:r>
        <w:t>The interactive Streamlit application deployed in IBM Bob operationalizes the 5 levels of decision support:</w:t>
      </w:r>
    </w:p>
    <w:p w14:paraId="1F87DE0D" w14:textId="77777777" w:rsidR="0070387D" w:rsidRDefault="008B6066">
      <w:pPr>
        <w:pStyle w:val="ListBullet"/>
      </w:pPr>
      <w:r>
        <w:rPr>
          <w:b/>
        </w:rPr>
        <w:t xml:space="preserve">Level 1 — Executive KPIs: </w:t>
      </w:r>
      <w:r>
        <w:t>Monitors top-line health across 2</w:t>
      </w:r>
      <w:r>
        <w:t>0,000 loans, establishing an active default rate of 20.01% and an average principal exposure of $15,129.30.</w:t>
      </w:r>
    </w:p>
    <w:p w14:paraId="3A5E5C75" w14:textId="77777777" w:rsidR="0070387D" w:rsidRDefault="008B6066">
      <w:pPr>
        <w:pStyle w:val="ListBullet"/>
      </w:pPr>
      <w:r>
        <w:rPr>
          <w:b/>
        </w:rPr>
        <w:t xml:space="preserve">Level 2 — Trajectories &amp; Trends: </w:t>
      </w:r>
      <w:r>
        <w:t>Visualizes migration of default rates across bureau score tiers, capturing an elevated default rate exceeding 30% f</w:t>
      </w:r>
      <w:r>
        <w:t>or credit scores below 580.</w:t>
      </w:r>
    </w:p>
    <w:p w14:paraId="510DD622" w14:textId="77777777" w:rsidR="0070387D" w:rsidRDefault="008B6066">
      <w:pPr>
        <w:pStyle w:val="ListBullet"/>
      </w:pPr>
      <w:r>
        <w:rPr>
          <w:b/>
        </w:rPr>
        <w:t xml:space="preserve">Level 3 — Root Drivers: </w:t>
      </w:r>
      <w:r>
        <w:t>Isolates debt-to-income distributions and delinquency flags as primary predictors of repayment failure.</w:t>
      </w:r>
    </w:p>
    <w:p w14:paraId="1ADCCA31" w14:textId="77777777" w:rsidR="0070387D" w:rsidRDefault="008B6066">
      <w:pPr>
        <w:pStyle w:val="ListBullet"/>
      </w:pPr>
      <w:r>
        <w:rPr>
          <w:b/>
        </w:rPr>
        <w:t xml:space="preserve">Level 4 — Operational Risk: </w:t>
      </w:r>
      <w:r>
        <w:t>Simulates balance sheet capital impairment under asymmetric loss assumpt</w:t>
      </w:r>
      <w:r>
        <w:t>ions ($15,000 write-off vs. $50 review).</w:t>
      </w:r>
    </w:p>
    <w:p w14:paraId="23458C99" w14:textId="3D736716" w:rsidR="0070387D" w:rsidRDefault="008B6066">
      <w:pPr>
        <w:pStyle w:val="ListBullet"/>
      </w:pPr>
      <w:r>
        <w:rPr>
          <w:b/>
        </w:rPr>
        <w:t xml:space="preserve">Level 5 — Prescriptive Actions: </w:t>
      </w:r>
      <w:r>
        <w:t>Empowers loan underwriters with real-time risk classification into Automated Approval (&lt;30% risk), Manual Audit (30-55% risk), and Automated Decline (&gt;55% risk).</w:t>
      </w:r>
    </w:p>
    <w:p w14:paraId="0F469D93" w14:textId="4C3D9871" w:rsidR="008B6066" w:rsidRDefault="008B6066" w:rsidP="008B6066">
      <w:pPr>
        <w:pStyle w:val="ListBullet"/>
        <w:numPr>
          <w:ilvl w:val="0"/>
          <w:numId w:val="0"/>
        </w:numPr>
      </w:pPr>
      <w:r w:rsidRPr="008B6066">
        <w:drawing>
          <wp:inline distT="0" distB="0" distL="0" distR="0" wp14:anchorId="720DF785" wp14:editId="005C059C">
            <wp:extent cx="5943600" cy="280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9868" w14:textId="77777777" w:rsidR="0070387D" w:rsidRDefault="008B6066">
      <w:pPr>
        <w:pStyle w:val="Heading1"/>
        <w:spacing w:before="240" w:after="120"/>
      </w:pPr>
      <w:r>
        <w:t>6. Conclusion &amp; Deplo</w:t>
      </w:r>
      <w:r>
        <w:t>yment Verification</w:t>
      </w:r>
    </w:p>
    <w:p w14:paraId="42F6AAEB" w14:textId="77777777" w:rsidR="0070387D" w:rsidRDefault="008B6066">
      <w:r>
        <w:t xml:space="preserve">By synthesizing machine learning rigor with banking cost realities, this project demonstrates how data analytics drives executive-level decision making. The application operates as a standalone, </w:t>
      </w:r>
      <w:r>
        <w:lastRenderedPageBreak/>
        <w:t xml:space="preserve">production-ready system executable within </w:t>
      </w:r>
      <w:r>
        <w:t>IBM Bob, satisfying all academic internship deliverables set forth by AICTE, IBM SkillsBuild, and BharatCares.</w:t>
      </w:r>
    </w:p>
    <w:sectPr w:rsidR="007038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387D"/>
    <w:rsid w:val="008B60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9BEE8"/>
  <w14:defaultImageDpi w14:val="300"/>
  <w15:docId w15:val="{92C60F42-819E-41E8-A15A-08E4A1A2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Soumojit</cp:lastModifiedBy>
  <cp:revision>3</cp:revision>
  <dcterms:created xsi:type="dcterms:W3CDTF">2013-12-23T23:15:00Z</dcterms:created>
  <dcterms:modified xsi:type="dcterms:W3CDTF">2026-09-22T17:44:00Z</dcterms:modified>
  <cp:category/>
</cp:coreProperties>
</file>