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A8E7" w14:textId="77777777" w:rsidR="00EE6768" w:rsidRPr="00607122" w:rsidRDefault="00160376" w:rsidP="00607122">
      <w:pPr>
        <w:pStyle w:val="BodyTextFlushLeft"/>
        <w:jc w:val="center"/>
        <w:rPr>
          <w:rFonts w:cs="Arial"/>
          <w:b/>
          <w:sz w:val="20"/>
          <w:u w:val="single"/>
        </w:rPr>
      </w:pPr>
      <w:r>
        <w:rPr>
          <w:rFonts w:cs="Arial"/>
          <w:b/>
          <w:sz w:val="20"/>
          <w:u w:val="single"/>
        </w:rPr>
        <w:t>BWTS OPERATION CHECKLIST</w:t>
      </w:r>
    </w:p>
    <w:p w14:paraId="32D9A3A6" w14:textId="77777777" w:rsidR="004A5EAA" w:rsidRDefault="004A5EAA" w:rsidP="00F41C23">
      <w:pPr>
        <w:pStyle w:val="BodyTextFlushLeft"/>
        <w:spacing w:before="0" w:after="0"/>
        <w:rPr>
          <w:rFonts w:cs="Arial"/>
          <w:sz w:val="18"/>
          <w:szCs w:val="18"/>
        </w:rPr>
      </w:pPr>
    </w:p>
    <w:p w14:paraId="6267E959" w14:textId="77777777" w:rsidR="005846A8" w:rsidRDefault="00160376" w:rsidP="004A5EAA">
      <w:pPr>
        <w:pStyle w:val="BodyTextFlushLeft"/>
        <w:spacing w:before="0" w:after="0"/>
        <w:ind w:right="-360"/>
        <w:jc w:val="both"/>
        <w:rPr>
          <w:rFonts w:cs="Arial"/>
          <w:sz w:val="18"/>
          <w:szCs w:val="18"/>
        </w:rPr>
      </w:pPr>
      <w:r>
        <w:rPr>
          <w:rFonts w:cs="Arial"/>
          <w:sz w:val="18"/>
          <w:szCs w:val="18"/>
        </w:rPr>
        <w:t>The sequences of events mentioned below have to be followed in a chronological order for putting the BWTS plant in</w:t>
      </w:r>
      <w:r w:rsidR="00D00AC0">
        <w:rPr>
          <w:rFonts w:cs="Arial"/>
          <w:sz w:val="18"/>
          <w:szCs w:val="18"/>
        </w:rPr>
        <w:t>to</w:t>
      </w:r>
      <w:r>
        <w:rPr>
          <w:rFonts w:cs="Arial"/>
          <w:sz w:val="18"/>
          <w:szCs w:val="18"/>
        </w:rPr>
        <w:t xml:space="preserve"> operation</w:t>
      </w:r>
      <w:r w:rsidR="005846A8" w:rsidRPr="00607122">
        <w:rPr>
          <w:rFonts w:cs="Arial"/>
          <w:sz w:val="18"/>
          <w:szCs w:val="18"/>
        </w:rPr>
        <w:t>.</w:t>
      </w:r>
    </w:p>
    <w:p w14:paraId="476FF790" w14:textId="77777777" w:rsidR="000A7AD0" w:rsidRDefault="000A7AD0" w:rsidP="004A5EAA">
      <w:pPr>
        <w:pStyle w:val="BodyTextFlushLeft"/>
        <w:spacing w:before="0" w:after="0"/>
        <w:ind w:right="-360"/>
        <w:jc w:val="both"/>
        <w:rPr>
          <w:rFonts w:cs="Arial"/>
          <w:sz w:val="18"/>
          <w:szCs w:val="18"/>
        </w:rPr>
      </w:pPr>
    </w:p>
    <w:tbl>
      <w:tblPr>
        <w:tblW w:w="9480" w:type="dxa"/>
        <w:tblInd w:w="108" w:type="dxa"/>
        <w:tblLook w:val="01E0" w:firstRow="1" w:lastRow="1" w:firstColumn="1" w:lastColumn="1" w:noHBand="0" w:noVBand="0"/>
      </w:tblPr>
      <w:tblGrid>
        <w:gridCol w:w="1618"/>
        <w:gridCol w:w="2769"/>
        <w:gridCol w:w="1731"/>
        <w:gridCol w:w="1137"/>
        <w:gridCol w:w="2225"/>
      </w:tblGrid>
      <w:tr w:rsidR="00F41C23" w:rsidRPr="00040AAB" w14:paraId="01032071" w14:textId="77777777" w:rsidTr="000A7AD0">
        <w:trPr>
          <w:trHeight w:val="432"/>
        </w:trPr>
        <w:tc>
          <w:tcPr>
            <w:tcW w:w="1618" w:type="dxa"/>
            <w:shd w:val="clear" w:color="auto" w:fill="auto"/>
            <w:vAlign w:val="bottom"/>
          </w:tcPr>
          <w:p w14:paraId="2D792F4C" w14:textId="77777777" w:rsidR="00F41C23" w:rsidRPr="00040AAB" w:rsidRDefault="00F41C23" w:rsidP="001A4FDA">
            <w:pPr>
              <w:rPr>
                <w:rFonts w:ascii="Arial" w:eastAsia="SimSun" w:hAnsi="Arial" w:cs="Arial"/>
                <w:b/>
                <w:sz w:val="18"/>
                <w:szCs w:val="18"/>
                <w:lang w:val="en-US"/>
              </w:rPr>
            </w:pPr>
            <w:r w:rsidRPr="00040AAB">
              <w:rPr>
                <w:rFonts w:ascii="Arial" w:eastAsia="SimSun" w:hAnsi="Arial" w:cs="Arial"/>
                <w:b/>
                <w:sz w:val="18"/>
                <w:szCs w:val="18"/>
                <w:lang w:val="en-US"/>
              </w:rPr>
              <w:t>Vessel:</w:t>
            </w:r>
          </w:p>
        </w:tc>
        <w:tc>
          <w:tcPr>
            <w:tcW w:w="2769" w:type="dxa"/>
            <w:tcBorders>
              <w:bottom w:val="single" w:sz="4" w:space="0" w:color="auto"/>
            </w:tcBorders>
            <w:shd w:val="clear" w:color="auto" w:fill="auto"/>
            <w:vAlign w:val="bottom"/>
          </w:tcPr>
          <w:p w14:paraId="1D18443D" w14:textId="77777777" w:rsidR="00F41C23" w:rsidRPr="00040AAB" w:rsidRDefault="00F41C23" w:rsidP="001A4FDA">
            <w:pPr>
              <w:rPr>
                <w:rFonts w:ascii="Arial" w:eastAsia="SimSun" w:hAnsi="Arial" w:cs="Arial"/>
                <w:b/>
                <w:sz w:val="18"/>
                <w:szCs w:val="18"/>
                <w:lang w:val="en-US"/>
              </w:rPr>
            </w:pPr>
          </w:p>
        </w:tc>
        <w:tc>
          <w:tcPr>
            <w:tcW w:w="1731" w:type="dxa"/>
            <w:shd w:val="clear" w:color="auto" w:fill="auto"/>
            <w:vAlign w:val="bottom"/>
          </w:tcPr>
          <w:p w14:paraId="46FE9287" w14:textId="77777777" w:rsidR="00F41C23" w:rsidRPr="00040AAB" w:rsidRDefault="00F41C23" w:rsidP="001A4FDA">
            <w:pPr>
              <w:rPr>
                <w:rFonts w:ascii="Arial" w:eastAsia="SimSun" w:hAnsi="Arial" w:cs="Arial"/>
                <w:b/>
                <w:sz w:val="18"/>
                <w:szCs w:val="18"/>
                <w:lang w:val="en-US"/>
              </w:rPr>
            </w:pPr>
          </w:p>
        </w:tc>
        <w:tc>
          <w:tcPr>
            <w:tcW w:w="1137" w:type="dxa"/>
            <w:shd w:val="clear" w:color="auto" w:fill="auto"/>
            <w:vAlign w:val="bottom"/>
          </w:tcPr>
          <w:p w14:paraId="2F4831FD" w14:textId="77777777" w:rsidR="00F41C23" w:rsidRPr="00040AAB" w:rsidRDefault="00F41C23" w:rsidP="00040AAB">
            <w:pPr>
              <w:jc w:val="right"/>
              <w:rPr>
                <w:rFonts w:ascii="Arial" w:eastAsia="SimSun" w:hAnsi="Arial" w:cs="Arial"/>
                <w:b/>
                <w:sz w:val="18"/>
                <w:szCs w:val="18"/>
                <w:lang w:val="en-US"/>
              </w:rPr>
            </w:pPr>
            <w:r w:rsidRPr="00040AAB">
              <w:rPr>
                <w:rFonts w:ascii="Arial" w:eastAsia="SimSun" w:hAnsi="Arial" w:cs="Arial"/>
                <w:b/>
                <w:sz w:val="18"/>
                <w:szCs w:val="18"/>
                <w:lang w:val="en-US"/>
              </w:rPr>
              <w:t>Date</w:t>
            </w:r>
            <w:r w:rsidR="0098529D">
              <w:rPr>
                <w:rFonts w:ascii="Arial" w:eastAsia="SimSun" w:hAnsi="Arial" w:cs="Arial"/>
                <w:b/>
                <w:sz w:val="18"/>
                <w:szCs w:val="18"/>
                <w:lang w:val="en-US"/>
              </w:rPr>
              <w:t>/Time</w:t>
            </w:r>
            <w:r w:rsidRPr="00040AAB">
              <w:rPr>
                <w:rFonts w:ascii="Arial" w:eastAsia="SimSun" w:hAnsi="Arial" w:cs="Arial"/>
                <w:b/>
                <w:sz w:val="18"/>
                <w:szCs w:val="18"/>
                <w:lang w:val="en-US"/>
              </w:rPr>
              <w:t>:</w:t>
            </w:r>
          </w:p>
        </w:tc>
        <w:tc>
          <w:tcPr>
            <w:tcW w:w="2225" w:type="dxa"/>
            <w:tcBorders>
              <w:bottom w:val="single" w:sz="4" w:space="0" w:color="auto"/>
            </w:tcBorders>
            <w:shd w:val="clear" w:color="auto" w:fill="auto"/>
            <w:vAlign w:val="bottom"/>
          </w:tcPr>
          <w:p w14:paraId="7FB294CB" w14:textId="77777777" w:rsidR="00F41C23" w:rsidRPr="00040AAB" w:rsidRDefault="00F41C23" w:rsidP="001A4FDA">
            <w:pPr>
              <w:rPr>
                <w:rFonts w:ascii="Arial" w:eastAsia="SimSun" w:hAnsi="Arial" w:cs="Arial"/>
                <w:b/>
                <w:sz w:val="18"/>
                <w:szCs w:val="18"/>
                <w:lang w:val="en-US"/>
              </w:rPr>
            </w:pPr>
          </w:p>
        </w:tc>
      </w:tr>
      <w:tr w:rsidR="00F41C23" w:rsidRPr="00040AAB" w14:paraId="21C5BFCA" w14:textId="77777777" w:rsidTr="000A7AD0">
        <w:trPr>
          <w:trHeight w:val="432"/>
        </w:trPr>
        <w:tc>
          <w:tcPr>
            <w:tcW w:w="1618" w:type="dxa"/>
            <w:shd w:val="clear" w:color="auto" w:fill="auto"/>
            <w:vAlign w:val="bottom"/>
          </w:tcPr>
          <w:p w14:paraId="700049B8" w14:textId="77777777" w:rsidR="00F41C23" w:rsidRPr="00040AAB" w:rsidRDefault="00F41C23" w:rsidP="001A4FDA">
            <w:pPr>
              <w:rPr>
                <w:rFonts w:ascii="Arial" w:eastAsia="SimSun" w:hAnsi="Arial" w:cs="Arial"/>
                <w:b/>
                <w:sz w:val="18"/>
                <w:szCs w:val="18"/>
                <w:lang w:val="en-US"/>
              </w:rPr>
            </w:pPr>
            <w:r w:rsidRPr="00040AAB">
              <w:rPr>
                <w:rFonts w:ascii="Arial" w:eastAsia="SimSun" w:hAnsi="Arial" w:cs="Arial"/>
                <w:b/>
                <w:sz w:val="18"/>
                <w:szCs w:val="18"/>
                <w:lang w:val="en-US"/>
              </w:rPr>
              <w:t xml:space="preserve">Port / Location: </w:t>
            </w:r>
          </w:p>
        </w:tc>
        <w:tc>
          <w:tcPr>
            <w:tcW w:w="2769" w:type="dxa"/>
            <w:tcBorders>
              <w:bottom w:val="single" w:sz="4" w:space="0" w:color="auto"/>
            </w:tcBorders>
            <w:shd w:val="clear" w:color="auto" w:fill="auto"/>
            <w:vAlign w:val="bottom"/>
          </w:tcPr>
          <w:p w14:paraId="5618FA4D" w14:textId="77777777" w:rsidR="00F41C23" w:rsidRPr="00040AAB" w:rsidRDefault="00F41C23" w:rsidP="001A4FDA">
            <w:pPr>
              <w:rPr>
                <w:rFonts w:ascii="Arial" w:eastAsia="SimSun" w:hAnsi="Arial" w:cs="Arial"/>
                <w:b/>
                <w:sz w:val="18"/>
                <w:szCs w:val="18"/>
                <w:lang w:val="en-US"/>
              </w:rPr>
            </w:pPr>
          </w:p>
        </w:tc>
        <w:tc>
          <w:tcPr>
            <w:tcW w:w="5093" w:type="dxa"/>
            <w:gridSpan w:val="3"/>
            <w:shd w:val="clear" w:color="auto" w:fill="auto"/>
            <w:vAlign w:val="bottom"/>
          </w:tcPr>
          <w:p w14:paraId="174734EA" w14:textId="77777777" w:rsidR="00F41C23" w:rsidRPr="00040AAB" w:rsidRDefault="00F41C23" w:rsidP="001A4FDA">
            <w:pPr>
              <w:rPr>
                <w:rFonts w:ascii="Arial" w:eastAsia="SimSun" w:hAnsi="Arial" w:cs="Arial"/>
                <w:b/>
                <w:sz w:val="18"/>
                <w:szCs w:val="18"/>
                <w:lang w:val="en-US"/>
              </w:rPr>
            </w:pPr>
          </w:p>
        </w:tc>
      </w:tr>
    </w:tbl>
    <w:p w14:paraId="3A5B6680" w14:textId="77777777" w:rsidR="0034318C" w:rsidRDefault="0034318C" w:rsidP="00F41C23">
      <w:pPr>
        <w:pStyle w:val="BodyTextFlushLeft"/>
        <w:spacing w:before="0" w:after="0"/>
        <w:rPr>
          <w:rFonts w:cs="Arial"/>
          <w:sz w:val="18"/>
          <w:szCs w:val="18"/>
        </w:rPr>
      </w:pPr>
    </w:p>
    <w:tbl>
      <w:tblPr>
        <w:tblW w:w="5073"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8"/>
        <w:gridCol w:w="8005"/>
        <w:gridCol w:w="939"/>
      </w:tblGrid>
      <w:tr w:rsidR="005846A8" w:rsidRPr="00607122" w14:paraId="346263B1" w14:textId="77777777" w:rsidTr="0098529D">
        <w:trPr>
          <w:trHeight w:val="575"/>
        </w:trPr>
        <w:tc>
          <w:tcPr>
            <w:tcW w:w="4503" w:type="pct"/>
            <w:gridSpan w:val="2"/>
            <w:tcBorders>
              <w:top w:val="single" w:sz="4" w:space="0" w:color="auto"/>
              <w:left w:val="single" w:sz="4" w:space="0" w:color="auto"/>
              <w:bottom w:val="nil"/>
              <w:right w:val="single" w:sz="4" w:space="0" w:color="auto"/>
            </w:tcBorders>
            <w:vAlign w:val="center"/>
          </w:tcPr>
          <w:p w14:paraId="5F78063A" w14:textId="77777777" w:rsidR="005846A8" w:rsidRPr="00607122" w:rsidRDefault="00160376" w:rsidP="00F41C23">
            <w:pPr>
              <w:pStyle w:val="TableHeader"/>
              <w:rPr>
                <w:rFonts w:cs="Arial"/>
                <w:sz w:val="18"/>
                <w:szCs w:val="18"/>
              </w:rPr>
            </w:pPr>
            <w:r>
              <w:rPr>
                <w:rFonts w:cs="Arial"/>
                <w:sz w:val="18"/>
                <w:szCs w:val="18"/>
              </w:rPr>
              <w:t>Following is the sequence of operations to be undertaken for operating the BWTS</w:t>
            </w:r>
          </w:p>
        </w:tc>
        <w:tc>
          <w:tcPr>
            <w:tcW w:w="497" w:type="pct"/>
            <w:tcBorders>
              <w:top w:val="single" w:sz="4" w:space="0" w:color="auto"/>
              <w:left w:val="single" w:sz="4" w:space="0" w:color="auto"/>
              <w:bottom w:val="single" w:sz="4" w:space="0" w:color="auto"/>
              <w:right w:val="single" w:sz="4" w:space="0" w:color="auto"/>
            </w:tcBorders>
            <w:vAlign w:val="center"/>
          </w:tcPr>
          <w:p w14:paraId="1A93D516" w14:textId="77777777" w:rsidR="005846A8" w:rsidRPr="00607122" w:rsidRDefault="005846A8" w:rsidP="00F41C23">
            <w:pPr>
              <w:pStyle w:val="TableHeader"/>
              <w:jc w:val="center"/>
              <w:rPr>
                <w:rFonts w:cs="Arial"/>
                <w:sz w:val="18"/>
                <w:szCs w:val="18"/>
              </w:rPr>
            </w:pPr>
            <w:r w:rsidRPr="00607122">
              <w:rPr>
                <w:rFonts w:cs="Arial"/>
                <w:sz w:val="18"/>
                <w:szCs w:val="18"/>
              </w:rPr>
              <w:t>Tick (</w:t>
            </w:r>
            <w:r w:rsidRPr="00607122">
              <w:rPr>
                <w:rFonts w:cs="Arial"/>
                <w:sz w:val="18"/>
                <w:szCs w:val="18"/>
              </w:rPr>
              <w:sym w:font="Marlett" w:char="0062"/>
            </w:r>
            <w:r w:rsidRPr="00607122">
              <w:rPr>
                <w:rFonts w:cs="Arial"/>
                <w:sz w:val="18"/>
                <w:szCs w:val="18"/>
              </w:rPr>
              <w:t>)</w:t>
            </w:r>
          </w:p>
        </w:tc>
      </w:tr>
      <w:tr w:rsidR="005846A8" w:rsidRPr="00607122" w14:paraId="2179859C"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3D9747B4" w14:textId="77777777" w:rsidR="005846A8" w:rsidRPr="00607122" w:rsidRDefault="005846A8" w:rsidP="0098529D">
            <w:pPr>
              <w:pStyle w:val="TableText"/>
              <w:spacing w:before="60" w:after="60"/>
              <w:jc w:val="center"/>
              <w:rPr>
                <w:rFonts w:cs="Arial"/>
                <w:szCs w:val="18"/>
              </w:rPr>
            </w:pPr>
            <w:r w:rsidRPr="00607122">
              <w:rPr>
                <w:rFonts w:cs="Arial"/>
                <w:szCs w:val="18"/>
              </w:rPr>
              <w:t>1.</w:t>
            </w:r>
          </w:p>
        </w:tc>
        <w:tc>
          <w:tcPr>
            <w:tcW w:w="4239" w:type="pct"/>
            <w:tcBorders>
              <w:top w:val="single" w:sz="4" w:space="0" w:color="auto"/>
              <w:left w:val="single" w:sz="4" w:space="0" w:color="auto"/>
              <w:bottom w:val="single" w:sz="4" w:space="0" w:color="auto"/>
              <w:right w:val="single" w:sz="4" w:space="0" w:color="auto"/>
            </w:tcBorders>
          </w:tcPr>
          <w:p w14:paraId="6FA6AC63" w14:textId="77777777" w:rsidR="005846A8" w:rsidRPr="00607122" w:rsidRDefault="00715BA4" w:rsidP="00160376">
            <w:pPr>
              <w:pStyle w:val="TableText"/>
              <w:spacing w:before="60" w:after="60"/>
              <w:rPr>
                <w:rFonts w:cs="Arial"/>
                <w:szCs w:val="18"/>
              </w:rPr>
            </w:pPr>
            <w:r>
              <w:rPr>
                <w:rFonts w:cs="Arial"/>
                <w:szCs w:val="18"/>
              </w:rPr>
              <w:t>Check the HMI panel of the SGG for any alarms that need to be attended.</w:t>
            </w:r>
          </w:p>
        </w:tc>
        <w:tc>
          <w:tcPr>
            <w:tcW w:w="497" w:type="pct"/>
            <w:tcBorders>
              <w:top w:val="single" w:sz="4" w:space="0" w:color="auto"/>
              <w:left w:val="single" w:sz="4" w:space="0" w:color="auto"/>
              <w:bottom w:val="single" w:sz="4" w:space="0" w:color="auto"/>
              <w:right w:val="single" w:sz="4" w:space="0" w:color="auto"/>
            </w:tcBorders>
          </w:tcPr>
          <w:p w14:paraId="683056A9" w14:textId="77777777" w:rsidR="005846A8" w:rsidRPr="00607122" w:rsidRDefault="005846A8" w:rsidP="00607122">
            <w:pPr>
              <w:pStyle w:val="TableText"/>
              <w:spacing w:before="60" w:after="60"/>
              <w:rPr>
                <w:rFonts w:cs="Arial"/>
                <w:szCs w:val="18"/>
              </w:rPr>
            </w:pPr>
          </w:p>
        </w:tc>
      </w:tr>
      <w:tr w:rsidR="005846A8" w:rsidRPr="00607122" w14:paraId="11422092"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4E0780F2" w14:textId="77777777" w:rsidR="005846A8" w:rsidRPr="00607122" w:rsidRDefault="005846A8" w:rsidP="0098529D">
            <w:pPr>
              <w:pStyle w:val="TableText"/>
              <w:spacing w:before="60" w:after="60"/>
              <w:jc w:val="center"/>
              <w:rPr>
                <w:rFonts w:cs="Arial"/>
                <w:szCs w:val="18"/>
              </w:rPr>
            </w:pPr>
            <w:r w:rsidRPr="00607122">
              <w:rPr>
                <w:rFonts w:cs="Arial"/>
                <w:szCs w:val="18"/>
              </w:rPr>
              <w:t>2.</w:t>
            </w:r>
          </w:p>
        </w:tc>
        <w:tc>
          <w:tcPr>
            <w:tcW w:w="4239" w:type="pct"/>
            <w:tcBorders>
              <w:top w:val="single" w:sz="4" w:space="0" w:color="auto"/>
              <w:left w:val="single" w:sz="4" w:space="0" w:color="auto"/>
              <w:bottom w:val="single" w:sz="4" w:space="0" w:color="auto"/>
              <w:right w:val="single" w:sz="4" w:space="0" w:color="auto"/>
            </w:tcBorders>
          </w:tcPr>
          <w:p w14:paraId="10EAA480" w14:textId="77777777" w:rsidR="005846A8" w:rsidRPr="00607122" w:rsidRDefault="00715BA4" w:rsidP="00160376">
            <w:pPr>
              <w:pStyle w:val="TableText"/>
              <w:spacing w:before="60" w:after="60"/>
              <w:rPr>
                <w:rFonts w:cs="Arial"/>
                <w:szCs w:val="18"/>
              </w:rPr>
            </w:pPr>
            <w:r>
              <w:rPr>
                <w:rFonts w:cs="Arial"/>
                <w:szCs w:val="18"/>
              </w:rPr>
              <w:t>Open the control air supply for the SGG unit.</w:t>
            </w:r>
          </w:p>
        </w:tc>
        <w:tc>
          <w:tcPr>
            <w:tcW w:w="497" w:type="pct"/>
            <w:tcBorders>
              <w:top w:val="single" w:sz="4" w:space="0" w:color="auto"/>
              <w:left w:val="single" w:sz="4" w:space="0" w:color="auto"/>
              <w:bottom w:val="single" w:sz="4" w:space="0" w:color="auto"/>
              <w:right w:val="single" w:sz="4" w:space="0" w:color="auto"/>
            </w:tcBorders>
          </w:tcPr>
          <w:p w14:paraId="14B57B26" w14:textId="77777777" w:rsidR="005846A8" w:rsidRPr="00607122" w:rsidRDefault="005846A8" w:rsidP="00607122">
            <w:pPr>
              <w:pStyle w:val="TableText"/>
              <w:spacing w:before="60" w:after="60"/>
              <w:rPr>
                <w:rFonts w:cs="Arial"/>
                <w:szCs w:val="18"/>
              </w:rPr>
            </w:pPr>
          </w:p>
        </w:tc>
      </w:tr>
      <w:tr w:rsidR="005846A8" w:rsidRPr="00607122" w14:paraId="7979CDFE"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30E84A9F" w14:textId="77777777" w:rsidR="005846A8" w:rsidRPr="00607122" w:rsidRDefault="005846A8" w:rsidP="0098529D">
            <w:pPr>
              <w:pStyle w:val="TableText"/>
              <w:spacing w:before="60" w:after="60"/>
              <w:jc w:val="center"/>
              <w:rPr>
                <w:rFonts w:cs="Arial"/>
                <w:szCs w:val="18"/>
              </w:rPr>
            </w:pPr>
            <w:r w:rsidRPr="00607122">
              <w:rPr>
                <w:rFonts w:cs="Arial"/>
                <w:szCs w:val="18"/>
              </w:rPr>
              <w:t>3.</w:t>
            </w:r>
          </w:p>
        </w:tc>
        <w:tc>
          <w:tcPr>
            <w:tcW w:w="4239" w:type="pct"/>
            <w:tcBorders>
              <w:top w:val="single" w:sz="4" w:space="0" w:color="auto"/>
              <w:left w:val="single" w:sz="4" w:space="0" w:color="auto"/>
              <w:bottom w:val="single" w:sz="4" w:space="0" w:color="auto"/>
              <w:right w:val="single" w:sz="4" w:space="0" w:color="auto"/>
            </w:tcBorders>
          </w:tcPr>
          <w:p w14:paraId="5A837779" w14:textId="77777777" w:rsidR="005846A8" w:rsidRPr="00607122" w:rsidRDefault="00715BA4" w:rsidP="00607122">
            <w:pPr>
              <w:pStyle w:val="TableText"/>
              <w:spacing w:before="60" w:after="60"/>
              <w:rPr>
                <w:rFonts w:cs="Arial"/>
                <w:szCs w:val="18"/>
              </w:rPr>
            </w:pPr>
            <w:r>
              <w:rPr>
                <w:rFonts w:cs="Arial"/>
                <w:szCs w:val="18"/>
              </w:rPr>
              <w:t>Check the oil level in the combustion air blowers and the condition of the transmission belts.</w:t>
            </w:r>
          </w:p>
        </w:tc>
        <w:tc>
          <w:tcPr>
            <w:tcW w:w="497" w:type="pct"/>
            <w:tcBorders>
              <w:top w:val="single" w:sz="4" w:space="0" w:color="auto"/>
              <w:left w:val="single" w:sz="4" w:space="0" w:color="auto"/>
              <w:bottom w:val="single" w:sz="4" w:space="0" w:color="auto"/>
              <w:right w:val="single" w:sz="4" w:space="0" w:color="auto"/>
            </w:tcBorders>
          </w:tcPr>
          <w:p w14:paraId="008B4244" w14:textId="77777777" w:rsidR="005846A8" w:rsidRPr="00607122" w:rsidRDefault="005846A8" w:rsidP="00607122">
            <w:pPr>
              <w:pStyle w:val="TableText"/>
              <w:spacing w:before="60" w:after="60"/>
              <w:rPr>
                <w:rFonts w:cs="Arial"/>
                <w:szCs w:val="18"/>
              </w:rPr>
            </w:pPr>
          </w:p>
        </w:tc>
      </w:tr>
      <w:tr w:rsidR="005846A8" w:rsidRPr="00607122" w14:paraId="409D2FB6"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50E07851" w14:textId="77777777" w:rsidR="005846A8" w:rsidRPr="00607122" w:rsidRDefault="005846A8" w:rsidP="0098529D">
            <w:pPr>
              <w:pStyle w:val="TableText"/>
              <w:spacing w:before="60" w:after="60"/>
              <w:jc w:val="center"/>
              <w:rPr>
                <w:rFonts w:cs="Arial"/>
                <w:szCs w:val="18"/>
              </w:rPr>
            </w:pPr>
            <w:r w:rsidRPr="00607122">
              <w:rPr>
                <w:rFonts w:cs="Arial"/>
                <w:szCs w:val="18"/>
              </w:rPr>
              <w:t>4.</w:t>
            </w:r>
          </w:p>
        </w:tc>
        <w:tc>
          <w:tcPr>
            <w:tcW w:w="4239" w:type="pct"/>
            <w:tcBorders>
              <w:top w:val="single" w:sz="4" w:space="0" w:color="auto"/>
              <w:left w:val="single" w:sz="4" w:space="0" w:color="auto"/>
              <w:bottom w:val="single" w:sz="4" w:space="0" w:color="auto"/>
              <w:right w:val="single" w:sz="4" w:space="0" w:color="auto"/>
            </w:tcBorders>
          </w:tcPr>
          <w:p w14:paraId="4E74A825" w14:textId="77777777" w:rsidR="005846A8" w:rsidRPr="00607122" w:rsidRDefault="00715BA4" w:rsidP="00607122">
            <w:pPr>
              <w:pStyle w:val="TableText"/>
              <w:spacing w:before="60" w:after="60"/>
              <w:rPr>
                <w:rFonts w:cs="Arial"/>
                <w:szCs w:val="18"/>
              </w:rPr>
            </w:pPr>
            <w:r>
              <w:rPr>
                <w:rFonts w:cs="Arial"/>
                <w:szCs w:val="18"/>
              </w:rPr>
              <w:t>Ensure that the overboard valve on the cooling water line of the BWTS is kept open.</w:t>
            </w:r>
          </w:p>
        </w:tc>
        <w:tc>
          <w:tcPr>
            <w:tcW w:w="497" w:type="pct"/>
            <w:tcBorders>
              <w:top w:val="single" w:sz="4" w:space="0" w:color="auto"/>
              <w:left w:val="single" w:sz="4" w:space="0" w:color="auto"/>
              <w:bottom w:val="single" w:sz="4" w:space="0" w:color="auto"/>
              <w:right w:val="single" w:sz="4" w:space="0" w:color="auto"/>
            </w:tcBorders>
          </w:tcPr>
          <w:p w14:paraId="6C6382C8" w14:textId="77777777" w:rsidR="005846A8" w:rsidRPr="00607122" w:rsidRDefault="005846A8" w:rsidP="00607122">
            <w:pPr>
              <w:pStyle w:val="TableText"/>
              <w:spacing w:before="60" w:after="60"/>
              <w:rPr>
                <w:rFonts w:cs="Arial"/>
                <w:szCs w:val="18"/>
              </w:rPr>
            </w:pPr>
          </w:p>
        </w:tc>
      </w:tr>
      <w:tr w:rsidR="00D00AC0" w:rsidRPr="00607122" w14:paraId="768A5302"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693C3919" w14:textId="77777777" w:rsidR="00D00AC0" w:rsidRPr="00607122" w:rsidRDefault="00D00AC0" w:rsidP="0098529D">
            <w:pPr>
              <w:pStyle w:val="TableText"/>
              <w:spacing w:before="60" w:after="60"/>
              <w:jc w:val="center"/>
              <w:rPr>
                <w:rFonts w:cs="Arial"/>
                <w:szCs w:val="18"/>
              </w:rPr>
            </w:pPr>
            <w:r>
              <w:rPr>
                <w:rFonts w:cs="Arial"/>
                <w:szCs w:val="18"/>
              </w:rPr>
              <w:t>5.</w:t>
            </w:r>
          </w:p>
        </w:tc>
        <w:tc>
          <w:tcPr>
            <w:tcW w:w="4239" w:type="pct"/>
            <w:tcBorders>
              <w:top w:val="single" w:sz="4" w:space="0" w:color="auto"/>
              <w:left w:val="single" w:sz="4" w:space="0" w:color="auto"/>
              <w:bottom w:val="single" w:sz="4" w:space="0" w:color="auto"/>
              <w:right w:val="single" w:sz="4" w:space="0" w:color="auto"/>
            </w:tcBorders>
          </w:tcPr>
          <w:p w14:paraId="46676812" w14:textId="77777777" w:rsidR="00D00AC0" w:rsidRPr="00607122" w:rsidRDefault="00D00AC0" w:rsidP="00D00AC0">
            <w:pPr>
              <w:pStyle w:val="TableText"/>
              <w:spacing w:before="60" w:after="60"/>
              <w:rPr>
                <w:rFonts w:cs="Arial"/>
                <w:szCs w:val="18"/>
              </w:rPr>
            </w:pPr>
            <w:r>
              <w:rPr>
                <w:rFonts w:cs="Arial"/>
                <w:szCs w:val="18"/>
              </w:rPr>
              <w:t>Check that the gas oil line to and from the SGG fuel pump have been correctly lined up.</w:t>
            </w:r>
          </w:p>
        </w:tc>
        <w:tc>
          <w:tcPr>
            <w:tcW w:w="497" w:type="pct"/>
            <w:tcBorders>
              <w:top w:val="single" w:sz="4" w:space="0" w:color="auto"/>
              <w:left w:val="single" w:sz="4" w:space="0" w:color="auto"/>
              <w:bottom w:val="single" w:sz="4" w:space="0" w:color="auto"/>
              <w:right w:val="single" w:sz="4" w:space="0" w:color="auto"/>
            </w:tcBorders>
          </w:tcPr>
          <w:p w14:paraId="08105B46" w14:textId="77777777" w:rsidR="00D00AC0" w:rsidRPr="00607122" w:rsidRDefault="00D00AC0" w:rsidP="00607122">
            <w:pPr>
              <w:pStyle w:val="TableText"/>
              <w:spacing w:before="60" w:after="60"/>
              <w:rPr>
                <w:rFonts w:cs="Arial"/>
                <w:szCs w:val="18"/>
              </w:rPr>
            </w:pPr>
          </w:p>
        </w:tc>
      </w:tr>
      <w:tr w:rsidR="00D00AC0" w:rsidRPr="00607122" w14:paraId="4065C417"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339F77FA" w14:textId="77777777" w:rsidR="00D00AC0" w:rsidRPr="00607122" w:rsidRDefault="00D00AC0" w:rsidP="0098529D">
            <w:pPr>
              <w:pStyle w:val="TableText"/>
              <w:spacing w:before="60" w:after="60"/>
              <w:jc w:val="center"/>
              <w:rPr>
                <w:rFonts w:cs="Arial"/>
                <w:szCs w:val="18"/>
              </w:rPr>
            </w:pPr>
            <w:r>
              <w:rPr>
                <w:rFonts w:cs="Arial"/>
                <w:szCs w:val="18"/>
              </w:rPr>
              <w:t>6.</w:t>
            </w:r>
          </w:p>
        </w:tc>
        <w:tc>
          <w:tcPr>
            <w:tcW w:w="4239" w:type="pct"/>
            <w:tcBorders>
              <w:top w:val="single" w:sz="4" w:space="0" w:color="auto"/>
              <w:left w:val="single" w:sz="4" w:space="0" w:color="auto"/>
              <w:bottom w:val="single" w:sz="4" w:space="0" w:color="auto"/>
              <w:right w:val="single" w:sz="4" w:space="0" w:color="auto"/>
            </w:tcBorders>
          </w:tcPr>
          <w:p w14:paraId="07CA7C3A" w14:textId="77777777" w:rsidR="00D00AC0" w:rsidRDefault="00D00AC0" w:rsidP="00B3527F">
            <w:pPr>
              <w:pStyle w:val="TableText"/>
              <w:spacing w:before="60" w:after="60"/>
              <w:rPr>
                <w:rFonts w:cs="Arial"/>
                <w:szCs w:val="18"/>
              </w:rPr>
            </w:pPr>
            <w:r>
              <w:rPr>
                <w:rFonts w:cs="Arial"/>
                <w:szCs w:val="18"/>
              </w:rPr>
              <w:t>Select the combustion air blower needed for the operation, under “SGG Overview” Sub-menu.</w:t>
            </w:r>
          </w:p>
        </w:tc>
        <w:tc>
          <w:tcPr>
            <w:tcW w:w="497" w:type="pct"/>
            <w:tcBorders>
              <w:top w:val="single" w:sz="4" w:space="0" w:color="auto"/>
              <w:left w:val="single" w:sz="4" w:space="0" w:color="auto"/>
              <w:bottom w:val="single" w:sz="4" w:space="0" w:color="auto"/>
              <w:right w:val="single" w:sz="4" w:space="0" w:color="auto"/>
            </w:tcBorders>
          </w:tcPr>
          <w:p w14:paraId="7E0C7EB4" w14:textId="77777777" w:rsidR="00D00AC0" w:rsidRPr="00607122" w:rsidRDefault="00D00AC0" w:rsidP="00607122">
            <w:pPr>
              <w:pStyle w:val="TableText"/>
              <w:spacing w:before="60" w:after="60"/>
              <w:rPr>
                <w:rFonts w:cs="Arial"/>
                <w:szCs w:val="18"/>
              </w:rPr>
            </w:pPr>
          </w:p>
        </w:tc>
      </w:tr>
      <w:tr w:rsidR="00D00AC0" w:rsidRPr="00607122" w14:paraId="337AAC23"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1B207435" w14:textId="77777777" w:rsidR="00D00AC0" w:rsidRPr="00607122" w:rsidRDefault="00D00AC0" w:rsidP="0098529D">
            <w:pPr>
              <w:pStyle w:val="TableText"/>
              <w:spacing w:before="60" w:after="60"/>
              <w:jc w:val="center"/>
              <w:rPr>
                <w:rFonts w:cs="Arial"/>
                <w:szCs w:val="18"/>
              </w:rPr>
            </w:pPr>
            <w:r>
              <w:rPr>
                <w:rFonts w:cs="Arial"/>
                <w:szCs w:val="18"/>
              </w:rPr>
              <w:t>7.</w:t>
            </w:r>
          </w:p>
        </w:tc>
        <w:tc>
          <w:tcPr>
            <w:tcW w:w="4239" w:type="pct"/>
            <w:tcBorders>
              <w:top w:val="single" w:sz="4" w:space="0" w:color="auto"/>
              <w:left w:val="single" w:sz="4" w:space="0" w:color="auto"/>
              <w:bottom w:val="single" w:sz="4" w:space="0" w:color="auto"/>
              <w:right w:val="single" w:sz="4" w:space="0" w:color="auto"/>
            </w:tcBorders>
          </w:tcPr>
          <w:p w14:paraId="4716E487" w14:textId="77777777" w:rsidR="00D00AC0" w:rsidRDefault="00D00AC0" w:rsidP="00B3527F">
            <w:pPr>
              <w:pStyle w:val="TableText"/>
              <w:spacing w:before="60" w:after="60"/>
              <w:rPr>
                <w:rFonts w:cs="Arial"/>
                <w:szCs w:val="18"/>
              </w:rPr>
            </w:pPr>
            <w:r>
              <w:rPr>
                <w:rFonts w:cs="Arial"/>
                <w:szCs w:val="18"/>
              </w:rPr>
              <w:t xml:space="preserve">Check the </w:t>
            </w:r>
            <w:proofErr w:type="spellStart"/>
            <w:r>
              <w:rPr>
                <w:rFonts w:cs="Arial"/>
                <w:szCs w:val="18"/>
              </w:rPr>
              <w:t>Permissives</w:t>
            </w:r>
            <w:proofErr w:type="spellEnd"/>
            <w:r>
              <w:rPr>
                <w:rFonts w:cs="Arial"/>
                <w:szCs w:val="18"/>
              </w:rPr>
              <w:t xml:space="preserve"> for System to be ready under “SGG Overview” Sub-menu, and confirm system is ready for starting.</w:t>
            </w:r>
          </w:p>
        </w:tc>
        <w:tc>
          <w:tcPr>
            <w:tcW w:w="497" w:type="pct"/>
            <w:tcBorders>
              <w:top w:val="single" w:sz="4" w:space="0" w:color="auto"/>
              <w:left w:val="single" w:sz="4" w:space="0" w:color="auto"/>
              <w:bottom w:val="single" w:sz="4" w:space="0" w:color="auto"/>
              <w:right w:val="single" w:sz="4" w:space="0" w:color="auto"/>
            </w:tcBorders>
          </w:tcPr>
          <w:p w14:paraId="5449EFA0" w14:textId="77777777" w:rsidR="00D00AC0" w:rsidRPr="00607122" w:rsidRDefault="00D00AC0" w:rsidP="00607122">
            <w:pPr>
              <w:pStyle w:val="TableText"/>
              <w:spacing w:before="60" w:after="60"/>
              <w:rPr>
                <w:rFonts w:cs="Arial"/>
                <w:szCs w:val="18"/>
              </w:rPr>
            </w:pPr>
          </w:p>
        </w:tc>
      </w:tr>
      <w:tr w:rsidR="00D00AC0" w:rsidRPr="00607122" w14:paraId="4C5E0BE3"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042A7A7C" w14:textId="77777777" w:rsidR="00D00AC0" w:rsidRPr="00607122" w:rsidRDefault="00D00AC0" w:rsidP="0098529D">
            <w:pPr>
              <w:pStyle w:val="TableText"/>
              <w:spacing w:before="60" w:after="60"/>
              <w:jc w:val="center"/>
              <w:rPr>
                <w:rFonts w:cs="Arial"/>
                <w:szCs w:val="18"/>
              </w:rPr>
            </w:pPr>
            <w:r>
              <w:rPr>
                <w:rFonts w:cs="Arial"/>
                <w:szCs w:val="18"/>
              </w:rPr>
              <w:t>8</w:t>
            </w:r>
            <w:r w:rsidRPr="00607122">
              <w:rPr>
                <w:rFonts w:cs="Arial"/>
                <w:szCs w:val="18"/>
              </w:rPr>
              <w:t>.</w:t>
            </w:r>
          </w:p>
        </w:tc>
        <w:tc>
          <w:tcPr>
            <w:tcW w:w="4239" w:type="pct"/>
            <w:tcBorders>
              <w:top w:val="single" w:sz="4" w:space="0" w:color="auto"/>
              <w:left w:val="single" w:sz="4" w:space="0" w:color="auto"/>
              <w:bottom w:val="single" w:sz="4" w:space="0" w:color="auto"/>
              <w:right w:val="single" w:sz="4" w:space="0" w:color="auto"/>
            </w:tcBorders>
          </w:tcPr>
          <w:p w14:paraId="6CA98A43" w14:textId="77777777" w:rsidR="00D00AC0" w:rsidRPr="00607122" w:rsidRDefault="00D00AC0" w:rsidP="00B3527F">
            <w:pPr>
              <w:pStyle w:val="TableText"/>
              <w:spacing w:before="60" w:after="60"/>
              <w:rPr>
                <w:rFonts w:cs="Arial"/>
                <w:szCs w:val="18"/>
              </w:rPr>
            </w:pPr>
            <w:r>
              <w:rPr>
                <w:rFonts w:cs="Arial"/>
                <w:szCs w:val="18"/>
              </w:rPr>
              <w:t>Start the cooling water pump for the BWTS and maintain a pressure of 0.1 MPa at Pressure Gauge PG-104 by adjusting the valve BV-109</w:t>
            </w:r>
            <w:r w:rsidRPr="00607122">
              <w:rPr>
                <w:rFonts w:cs="Arial"/>
                <w:szCs w:val="18"/>
              </w:rPr>
              <w:t>.</w:t>
            </w:r>
          </w:p>
        </w:tc>
        <w:tc>
          <w:tcPr>
            <w:tcW w:w="497" w:type="pct"/>
            <w:tcBorders>
              <w:top w:val="single" w:sz="4" w:space="0" w:color="auto"/>
              <w:left w:val="single" w:sz="4" w:space="0" w:color="auto"/>
              <w:bottom w:val="single" w:sz="4" w:space="0" w:color="auto"/>
              <w:right w:val="single" w:sz="4" w:space="0" w:color="auto"/>
            </w:tcBorders>
          </w:tcPr>
          <w:p w14:paraId="3F2A146A" w14:textId="77777777" w:rsidR="00D00AC0" w:rsidRPr="00607122" w:rsidRDefault="00D00AC0" w:rsidP="00607122">
            <w:pPr>
              <w:pStyle w:val="TableText"/>
              <w:spacing w:before="60" w:after="60"/>
              <w:rPr>
                <w:rFonts w:cs="Arial"/>
                <w:szCs w:val="18"/>
              </w:rPr>
            </w:pPr>
          </w:p>
        </w:tc>
      </w:tr>
      <w:tr w:rsidR="00D00AC0" w:rsidRPr="00607122" w14:paraId="5797F52F"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4EFAD416" w14:textId="77777777" w:rsidR="00D00AC0" w:rsidRPr="00607122" w:rsidRDefault="00D00AC0" w:rsidP="0098529D">
            <w:pPr>
              <w:pStyle w:val="TableText"/>
              <w:spacing w:before="60" w:after="60"/>
              <w:jc w:val="center"/>
              <w:rPr>
                <w:rFonts w:cs="Arial"/>
                <w:szCs w:val="18"/>
              </w:rPr>
            </w:pPr>
            <w:r>
              <w:rPr>
                <w:rFonts w:cs="Arial"/>
                <w:szCs w:val="18"/>
              </w:rPr>
              <w:t>9.</w:t>
            </w:r>
          </w:p>
        </w:tc>
        <w:tc>
          <w:tcPr>
            <w:tcW w:w="4239" w:type="pct"/>
            <w:tcBorders>
              <w:top w:val="single" w:sz="4" w:space="0" w:color="auto"/>
              <w:left w:val="single" w:sz="4" w:space="0" w:color="auto"/>
              <w:bottom w:val="single" w:sz="4" w:space="0" w:color="auto"/>
              <w:right w:val="single" w:sz="4" w:space="0" w:color="auto"/>
            </w:tcBorders>
          </w:tcPr>
          <w:p w14:paraId="07A73AEB" w14:textId="77777777" w:rsidR="00D00AC0" w:rsidRDefault="00D00AC0" w:rsidP="00607122">
            <w:pPr>
              <w:pStyle w:val="TableText"/>
              <w:spacing w:before="60" w:after="60"/>
              <w:rPr>
                <w:rFonts w:cs="Arial"/>
                <w:szCs w:val="18"/>
              </w:rPr>
            </w:pPr>
            <w:r>
              <w:rPr>
                <w:rFonts w:cs="Arial"/>
                <w:szCs w:val="18"/>
              </w:rPr>
              <w:t>Adjust the cooling water pressure to 0.01 MPa at pressure gauge PG-105 by adjusting the valve BV-110.</w:t>
            </w:r>
          </w:p>
        </w:tc>
        <w:tc>
          <w:tcPr>
            <w:tcW w:w="497" w:type="pct"/>
            <w:tcBorders>
              <w:top w:val="single" w:sz="4" w:space="0" w:color="auto"/>
              <w:left w:val="single" w:sz="4" w:space="0" w:color="auto"/>
              <w:bottom w:val="single" w:sz="4" w:space="0" w:color="auto"/>
              <w:right w:val="single" w:sz="4" w:space="0" w:color="auto"/>
            </w:tcBorders>
          </w:tcPr>
          <w:p w14:paraId="358C0491" w14:textId="77777777" w:rsidR="00D00AC0" w:rsidRPr="00607122" w:rsidRDefault="00D00AC0" w:rsidP="00607122">
            <w:pPr>
              <w:pStyle w:val="TableText"/>
              <w:spacing w:before="60" w:after="60"/>
              <w:rPr>
                <w:rFonts w:cs="Arial"/>
                <w:szCs w:val="18"/>
              </w:rPr>
            </w:pPr>
          </w:p>
        </w:tc>
      </w:tr>
      <w:tr w:rsidR="00D00AC0" w:rsidRPr="00607122" w14:paraId="534A3122"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7BA5E2FD" w14:textId="77777777" w:rsidR="00D00AC0" w:rsidRPr="00607122" w:rsidRDefault="00D00AC0" w:rsidP="0098529D">
            <w:pPr>
              <w:pStyle w:val="TableText"/>
              <w:spacing w:before="60" w:after="60"/>
              <w:jc w:val="center"/>
              <w:rPr>
                <w:rFonts w:cs="Arial"/>
                <w:szCs w:val="18"/>
              </w:rPr>
            </w:pPr>
            <w:r>
              <w:rPr>
                <w:rFonts w:cs="Arial"/>
                <w:szCs w:val="18"/>
              </w:rPr>
              <w:t>10</w:t>
            </w:r>
            <w:r w:rsidRPr="00607122">
              <w:rPr>
                <w:rFonts w:cs="Arial"/>
                <w:szCs w:val="18"/>
              </w:rPr>
              <w:t>.</w:t>
            </w:r>
          </w:p>
        </w:tc>
        <w:tc>
          <w:tcPr>
            <w:tcW w:w="4239" w:type="pct"/>
            <w:tcBorders>
              <w:top w:val="single" w:sz="4" w:space="0" w:color="auto"/>
              <w:left w:val="single" w:sz="4" w:space="0" w:color="auto"/>
              <w:bottom w:val="single" w:sz="4" w:space="0" w:color="auto"/>
              <w:right w:val="single" w:sz="4" w:space="0" w:color="auto"/>
            </w:tcBorders>
          </w:tcPr>
          <w:p w14:paraId="2601F8BA" w14:textId="77777777" w:rsidR="00D00AC0" w:rsidRPr="00607122" w:rsidRDefault="00D00AC0" w:rsidP="00607122">
            <w:pPr>
              <w:pStyle w:val="TableText"/>
              <w:spacing w:before="60" w:after="60"/>
              <w:rPr>
                <w:rFonts w:cs="Arial"/>
                <w:szCs w:val="18"/>
              </w:rPr>
            </w:pPr>
            <w:r>
              <w:rPr>
                <w:rFonts w:cs="Arial"/>
                <w:szCs w:val="18"/>
              </w:rPr>
              <w:t>Inspect the SGG cooling water pump and the SGG unit for any water leaks.</w:t>
            </w:r>
          </w:p>
        </w:tc>
        <w:tc>
          <w:tcPr>
            <w:tcW w:w="497" w:type="pct"/>
            <w:tcBorders>
              <w:top w:val="single" w:sz="4" w:space="0" w:color="auto"/>
              <w:left w:val="single" w:sz="4" w:space="0" w:color="auto"/>
              <w:bottom w:val="single" w:sz="4" w:space="0" w:color="auto"/>
              <w:right w:val="single" w:sz="4" w:space="0" w:color="auto"/>
            </w:tcBorders>
          </w:tcPr>
          <w:p w14:paraId="34AFB1F1" w14:textId="77777777" w:rsidR="00D00AC0" w:rsidRPr="00607122" w:rsidRDefault="00D00AC0" w:rsidP="00607122">
            <w:pPr>
              <w:pStyle w:val="TableText"/>
              <w:spacing w:before="60" w:after="60"/>
              <w:rPr>
                <w:rFonts w:cs="Arial"/>
                <w:szCs w:val="18"/>
              </w:rPr>
            </w:pPr>
          </w:p>
        </w:tc>
      </w:tr>
      <w:tr w:rsidR="00D00AC0" w:rsidRPr="00607122" w14:paraId="78822A81"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604BC33C" w14:textId="77777777" w:rsidR="00D00AC0" w:rsidRDefault="00D00AC0" w:rsidP="0098529D">
            <w:pPr>
              <w:pStyle w:val="TableText"/>
              <w:spacing w:before="60" w:after="60"/>
              <w:jc w:val="center"/>
              <w:rPr>
                <w:rFonts w:cs="Arial"/>
                <w:szCs w:val="18"/>
              </w:rPr>
            </w:pPr>
            <w:r>
              <w:rPr>
                <w:rFonts w:cs="Arial"/>
                <w:szCs w:val="18"/>
              </w:rPr>
              <w:t>11.</w:t>
            </w:r>
          </w:p>
        </w:tc>
        <w:tc>
          <w:tcPr>
            <w:tcW w:w="4239" w:type="pct"/>
            <w:tcBorders>
              <w:top w:val="single" w:sz="4" w:space="0" w:color="auto"/>
              <w:left w:val="single" w:sz="4" w:space="0" w:color="auto"/>
              <w:bottom w:val="single" w:sz="4" w:space="0" w:color="auto"/>
              <w:right w:val="single" w:sz="4" w:space="0" w:color="auto"/>
            </w:tcBorders>
          </w:tcPr>
          <w:p w14:paraId="558DC57D" w14:textId="77777777" w:rsidR="00D00AC0" w:rsidRDefault="00D00AC0" w:rsidP="00D00AC0">
            <w:pPr>
              <w:pStyle w:val="TableText"/>
              <w:spacing w:before="60" w:after="60"/>
              <w:rPr>
                <w:rFonts w:cs="Arial"/>
                <w:szCs w:val="18"/>
              </w:rPr>
            </w:pPr>
            <w:r>
              <w:rPr>
                <w:rFonts w:cs="Arial"/>
                <w:szCs w:val="18"/>
              </w:rPr>
              <w:t>Start the SGG in the “SGG Overview” Sub-menu.</w:t>
            </w:r>
          </w:p>
        </w:tc>
        <w:tc>
          <w:tcPr>
            <w:tcW w:w="497" w:type="pct"/>
            <w:tcBorders>
              <w:top w:val="single" w:sz="4" w:space="0" w:color="auto"/>
              <w:left w:val="single" w:sz="4" w:space="0" w:color="auto"/>
              <w:bottom w:val="single" w:sz="4" w:space="0" w:color="auto"/>
              <w:right w:val="single" w:sz="4" w:space="0" w:color="auto"/>
            </w:tcBorders>
          </w:tcPr>
          <w:p w14:paraId="3ADE2D71" w14:textId="77777777" w:rsidR="00D00AC0" w:rsidRPr="00607122" w:rsidRDefault="00D00AC0" w:rsidP="00607122">
            <w:pPr>
              <w:pStyle w:val="TableText"/>
              <w:spacing w:before="60" w:after="60"/>
              <w:rPr>
                <w:rFonts w:cs="Arial"/>
                <w:szCs w:val="18"/>
              </w:rPr>
            </w:pPr>
          </w:p>
        </w:tc>
      </w:tr>
      <w:tr w:rsidR="00D00AC0" w:rsidRPr="00607122" w14:paraId="553BDF2A"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34A58AA1" w14:textId="77777777" w:rsidR="00D00AC0" w:rsidRPr="00607122" w:rsidRDefault="00D00AC0" w:rsidP="0098529D">
            <w:pPr>
              <w:pStyle w:val="TableText"/>
              <w:spacing w:before="60" w:after="60"/>
              <w:jc w:val="center"/>
              <w:rPr>
                <w:rFonts w:cs="Arial"/>
                <w:szCs w:val="18"/>
              </w:rPr>
            </w:pPr>
            <w:r>
              <w:rPr>
                <w:rFonts w:cs="Arial"/>
                <w:szCs w:val="18"/>
              </w:rPr>
              <w:t>11</w:t>
            </w:r>
            <w:r w:rsidRPr="00607122">
              <w:rPr>
                <w:rFonts w:cs="Arial"/>
                <w:szCs w:val="18"/>
              </w:rPr>
              <w:t>.</w:t>
            </w:r>
          </w:p>
        </w:tc>
        <w:tc>
          <w:tcPr>
            <w:tcW w:w="4239" w:type="pct"/>
            <w:tcBorders>
              <w:top w:val="single" w:sz="4" w:space="0" w:color="auto"/>
              <w:left w:val="single" w:sz="4" w:space="0" w:color="auto"/>
              <w:bottom w:val="single" w:sz="4" w:space="0" w:color="auto"/>
              <w:right w:val="single" w:sz="4" w:space="0" w:color="auto"/>
            </w:tcBorders>
          </w:tcPr>
          <w:p w14:paraId="4DC40E64" w14:textId="77777777" w:rsidR="00D00AC0" w:rsidRPr="00607122" w:rsidRDefault="00D00AC0" w:rsidP="00D00AC0">
            <w:pPr>
              <w:pStyle w:val="TableText"/>
              <w:spacing w:before="60" w:after="60"/>
              <w:rPr>
                <w:rFonts w:cs="Arial"/>
                <w:szCs w:val="18"/>
              </w:rPr>
            </w:pPr>
            <w:r>
              <w:rPr>
                <w:rFonts w:cs="Arial"/>
                <w:szCs w:val="18"/>
              </w:rPr>
              <w:t>Check the sequence of purging, ignition and firing.</w:t>
            </w:r>
          </w:p>
        </w:tc>
        <w:tc>
          <w:tcPr>
            <w:tcW w:w="497" w:type="pct"/>
            <w:tcBorders>
              <w:top w:val="single" w:sz="4" w:space="0" w:color="auto"/>
              <w:left w:val="single" w:sz="4" w:space="0" w:color="auto"/>
              <w:bottom w:val="single" w:sz="4" w:space="0" w:color="auto"/>
              <w:right w:val="single" w:sz="4" w:space="0" w:color="auto"/>
            </w:tcBorders>
          </w:tcPr>
          <w:p w14:paraId="7568EC3D" w14:textId="77777777" w:rsidR="00D00AC0" w:rsidRPr="00607122" w:rsidRDefault="00D00AC0" w:rsidP="00607122">
            <w:pPr>
              <w:pStyle w:val="TableText"/>
              <w:spacing w:before="60" w:after="60"/>
              <w:rPr>
                <w:rFonts w:cs="Arial"/>
                <w:szCs w:val="18"/>
              </w:rPr>
            </w:pPr>
          </w:p>
        </w:tc>
      </w:tr>
      <w:tr w:rsidR="00D00AC0" w:rsidRPr="00607122" w14:paraId="58E07FAA"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74ED2399" w14:textId="77777777" w:rsidR="00D00AC0" w:rsidRPr="00607122" w:rsidRDefault="00D00AC0" w:rsidP="0098529D">
            <w:pPr>
              <w:pStyle w:val="TableText"/>
              <w:spacing w:before="60" w:after="60"/>
              <w:jc w:val="center"/>
              <w:rPr>
                <w:rFonts w:cs="Arial"/>
                <w:szCs w:val="18"/>
              </w:rPr>
            </w:pPr>
            <w:r>
              <w:rPr>
                <w:rFonts w:cs="Arial"/>
                <w:szCs w:val="18"/>
              </w:rPr>
              <w:t>12</w:t>
            </w:r>
            <w:r w:rsidRPr="00607122">
              <w:rPr>
                <w:rFonts w:cs="Arial"/>
                <w:szCs w:val="18"/>
              </w:rPr>
              <w:t>.</w:t>
            </w:r>
          </w:p>
        </w:tc>
        <w:tc>
          <w:tcPr>
            <w:tcW w:w="4239" w:type="pct"/>
            <w:tcBorders>
              <w:top w:val="single" w:sz="4" w:space="0" w:color="auto"/>
              <w:left w:val="single" w:sz="4" w:space="0" w:color="auto"/>
              <w:bottom w:val="single" w:sz="4" w:space="0" w:color="auto"/>
              <w:right w:val="single" w:sz="4" w:space="0" w:color="auto"/>
            </w:tcBorders>
          </w:tcPr>
          <w:p w14:paraId="487BA083" w14:textId="77777777" w:rsidR="00D00AC0" w:rsidRPr="00607122" w:rsidRDefault="00D00AC0" w:rsidP="000A7AD0">
            <w:pPr>
              <w:pStyle w:val="TableText"/>
              <w:spacing w:before="60" w:after="60"/>
              <w:rPr>
                <w:rFonts w:cs="Arial"/>
                <w:szCs w:val="18"/>
              </w:rPr>
            </w:pPr>
            <w:r>
              <w:rPr>
                <w:rFonts w:cs="Arial"/>
                <w:szCs w:val="18"/>
              </w:rPr>
              <w:t>Check and Ensure the fuel at the burner inlet of Burner No.1 is 0.6 MPa.. Check the condition of the flame, and ensure the fuel and air mixture is adequate to sustain the flame.</w:t>
            </w:r>
          </w:p>
        </w:tc>
        <w:tc>
          <w:tcPr>
            <w:tcW w:w="497" w:type="pct"/>
            <w:tcBorders>
              <w:top w:val="single" w:sz="4" w:space="0" w:color="auto"/>
              <w:left w:val="single" w:sz="4" w:space="0" w:color="auto"/>
              <w:bottom w:val="single" w:sz="4" w:space="0" w:color="auto"/>
              <w:right w:val="single" w:sz="4" w:space="0" w:color="auto"/>
            </w:tcBorders>
          </w:tcPr>
          <w:p w14:paraId="49C9AC36" w14:textId="77777777" w:rsidR="00D00AC0" w:rsidRPr="00607122" w:rsidRDefault="00D00AC0" w:rsidP="00607122">
            <w:pPr>
              <w:pStyle w:val="TableText"/>
              <w:spacing w:before="60" w:after="60"/>
              <w:rPr>
                <w:rFonts w:cs="Arial"/>
                <w:szCs w:val="18"/>
              </w:rPr>
            </w:pPr>
          </w:p>
        </w:tc>
      </w:tr>
      <w:tr w:rsidR="00D00AC0" w:rsidRPr="00607122" w14:paraId="27642CF6"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378E73C0" w14:textId="77777777" w:rsidR="00D00AC0" w:rsidRPr="00607122" w:rsidRDefault="00D00AC0" w:rsidP="0098529D">
            <w:pPr>
              <w:pStyle w:val="TableText"/>
              <w:spacing w:before="60" w:after="60"/>
              <w:jc w:val="center"/>
              <w:rPr>
                <w:rFonts w:cs="Arial"/>
                <w:szCs w:val="18"/>
              </w:rPr>
            </w:pPr>
            <w:r>
              <w:rPr>
                <w:rFonts w:cs="Arial"/>
                <w:szCs w:val="18"/>
              </w:rPr>
              <w:t>13</w:t>
            </w:r>
            <w:r w:rsidRPr="00607122">
              <w:rPr>
                <w:rFonts w:cs="Arial"/>
                <w:szCs w:val="18"/>
              </w:rPr>
              <w:t>.</w:t>
            </w:r>
          </w:p>
        </w:tc>
        <w:tc>
          <w:tcPr>
            <w:tcW w:w="4239" w:type="pct"/>
            <w:tcBorders>
              <w:top w:val="single" w:sz="4" w:space="0" w:color="auto"/>
              <w:left w:val="single" w:sz="4" w:space="0" w:color="auto"/>
              <w:bottom w:val="single" w:sz="4" w:space="0" w:color="auto"/>
              <w:right w:val="single" w:sz="4" w:space="0" w:color="auto"/>
            </w:tcBorders>
          </w:tcPr>
          <w:p w14:paraId="6EFB622A" w14:textId="77777777" w:rsidR="00D00AC0" w:rsidRPr="00CD3414" w:rsidRDefault="00D00AC0" w:rsidP="00607122">
            <w:pPr>
              <w:pStyle w:val="TableText"/>
              <w:spacing w:before="60" w:after="60"/>
              <w:rPr>
                <w:rFonts w:cs="Arial"/>
                <w:szCs w:val="18"/>
              </w:rPr>
            </w:pPr>
            <w:r w:rsidRPr="00CD3414">
              <w:rPr>
                <w:rFonts w:cs="Arial"/>
                <w:szCs w:val="18"/>
              </w:rPr>
              <w:t>Check the operational blower for any signs of vibration, and monitor the current drawn by the blower</w:t>
            </w:r>
          </w:p>
        </w:tc>
        <w:tc>
          <w:tcPr>
            <w:tcW w:w="497" w:type="pct"/>
            <w:tcBorders>
              <w:top w:val="single" w:sz="4" w:space="0" w:color="auto"/>
              <w:left w:val="single" w:sz="4" w:space="0" w:color="auto"/>
              <w:bottom w:val="single" w:sz="4" w:space="0" w:color="auto"/>
              <w:right w:val="single" w:sz="4" w:space="0" w:color="auto"/>
            </w:tcBorders>
          </w:tcPr>
          <w:p w14:paraId="3CF1E828" w14:textId="77777777" w:rsidR="00D00AC0" w:rsidRPr="00607122" w:rsidRDefault="00D00AC0" w:rsidP="00607122">
            <w:pPr>
              <w:pStyle w:val="TableText"/>
              <w:spacing w:before="60" w:after="60"/>
              <w:rPr>
                <w:rFonts w:cs="Arial"/>
                <w:szCs w:val="18"/>
              </w:rPr>
            </w:pPr>
          </w:p>
        </w:tc>
      </w:tr>
      <w:tr w:rsidR="00D00AC0" w:rsidRPr="00607122" w14:paraId="0F064B40"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491D9875" w14:textId="77777777" w:rsidR="00D00AC0" w:rsidRPr="00607122" w:rsidRDefault="00D00AC0" w:rsidP="0098529D">
            <w:pPr>
              <w:pStyle w:val="TableText"/>
              <w:spacing w:before="60" w:after="60"/>
              <w:jc w:val="center"/>
              <w:rPr>
                <w:rFonts w:cs="Arial"/>
                <w:szCs w:val="18"/>
              </w:rPr>
            </w:pPr>
            <w:r>
              <w:rPr>
                <w:rFonts w:cs="Arial"/>
                <w:szCs w:val="18"/>
              </w:rPr>
              <w:t>14</w:t>
            </w:r>
            <w:r w:rsidRPr="00607122">
              <w:rPr>
                <w:rFonts w:cs="Arial"/>
                <w:szCs w:val="18"/>
              </w:rPr>
              <w:t>.</w:t>
            </w:r>
          </w:p>
        </w:tc>
        <w:tc>
          <w:tcPr>
            <w:tcW w:w="4239" w:type="pct"/>
            <w:tcBorders>
              <w:top w:val="single" w:sz="4" w:space="0" w:color="auto"/>
              <w:left w:val="single" w:sz="4" w:space="0" w:color="auto"/>
              <w:bottom w:val="single" w:sz="4" w:space="0" w:color="auto"/>
              <w:right w:val="single" w:sz="4" w:space="0" w:color="auto"/>
            </w:tcBorders>
          </w:tcPr>
          <w:p w14:paraId="0F6E9819" w14:textId="77777777" w:rsidR="00D00AC0" w:rsidRPr="00607122" w:rsidRDefault="00CC0344" w:rsidP="00CC0344">
            <w:pPr>
              <w:pStyle w:val="TableText"/>
              <w:spacing w:before="60" w:after="60"/>
              <w:rPr>
                <w:rFonts w:cs="Arial"/>
                <w:szCs w:val="18"/>
              </w:rPr>
            </w:pPr>
            <w:r>
              <w:rPr>
                <w:rFonts w:cs="Arial"/>
                <w:szCs w:val="18"/>
              </w:rPr>
              <w:t>Under “Treatment Sub-menu, select the system capacity to 50%, if only one ballast pump is to be used or if only Aft-peak ballast tank is to be treated.</w:t>
            </w:r>
          </w:p>
        </w:tc>
        <w:tc>
          <w:tcPr>
            <w:tcW w:w="497" w:type="pct"/>
            <w:tcBorders>
              <w:top w:val="single" w:sz="4" w:space="0" w:color="auto"/>
              <w:left w:val="single" w:sz="4" w:space="0" w:color="auto"/>
              <w:bottom w:val="single" w:sz="4" w:space="0" w:color="auto"/>
              <w:right w:val="single" w:sz="4" w:space="0" w:color="auto"/>
            </w:tcBorders>
          </w:tcPr>
          <w:p w14:paraId="20CDB786" w14:textId="77777777" w:rsidR="00D00AC0" w:rsidRPr="00607122" w:rsidRDefault="00D00AC0" w:rsidP="00607122">
            <w:pPr>
              <w:pStyle w:val="TableText"/>
              <w:spacing w:before="60" w:after="60"/>
              <w:rPr>
                <w:rFonts w:cs="Arial"/>
                <w:szCs w:val="18"/>
              </w:rPr>
            </w:pPr>
          </w:p>
        </w:tc>
      </w:tr>
      <w:tr w:rsidR="00D00AC0" w:rsidRPr="00607122" w14:paraId="6E53F613"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7F81993B" w14:textId="77777777" w:rsidR="00D00AC0" w:rsidRPr="00607122" w:rsidRDefault="00CC0344" w:rsidP="0098529D">
            <w:pPr>
              <w:pStyle w:val="TableText"/>
              <w:spacing w:before="60" w:after="60"/>
              <w:jc w:val="center"/>
              <w:rPr>
                <w:rFonts w:cs="Arial"/>
                <w:szCs w:val="18"/>
              </w:rPr>
            </w:pPr>
            <w:r>
              <w:rPr>
                <w:rFonts w:cs="Arial"/>
                <w:szCs w:val="18"/>
              </w:rPr>
              <w:t>15</w:t>
            </w:r>
            <w:r w:rsidR="00D00AC0" w:rsidRPr="00607122">
              <w:rPr>
                <w:rFonts w:cs="Arial"/>
                <w:szCs w:val="18"/>
              </w:rPr>
              <w:t>.</w:t>
            </w:r>
          </w:p>
        </w:tc>
        <w:tc>
          <w:tcPr>
            <w:tcW w:w="4239" w:type="pct"/>
            <w:tcBorders>
              <w:top w:val="single" w:sz="4" w:space="0" w:color="auto"/>
              <w:left w:val="single" w:sz="4" w:space="0" w:color="auto"/>
              <w:bottom w:val="single" w:sz="4" w:space="0" w:color="auto"/>
              <w:right w:val="single" w:sz="4" w:space="0" w:color="auto"/>
            </w:tcBorders>
          </w:tcPr>
          <w:p w14:paraId="29E07B79" w14:textId="77777777" w:rsidR="00D00AC0" w:rsidRPr="00607122" w:rsidRDefault="00CC0344" w:rsidP="000A7AD0">
            <w:pPr>
              <w:pStyle w:val="TableText"/>
              <w:spacing w:before="60" w:after="60"/>
              <w:rPr>
                <w:rFonts w:cs="Arial"/>
                <w:szCs w:val="18"/>
              </w:rPr>
            </w:pPr>
            <w:r>
              <w:rPr>
                <w:rFonts w:cs="Arial"/>
                <w:szCs w:val="18"/>
              </w:rPr>
              <w:t>Check the Oxygen content, and ensure the system goes on Stand-by once the Oxygen content dips below 2.5%.</w:t>
            </w:r>
          </w:p>
        </w:tc>
        <w:tc>
          <w:tcPr>
            <w:tcW w:w="497" w:type="pct"/>
            <w:tcBorders>
              <w:top w:val="single" w:sz="4" w:space="0" w:color="auto"/>
              <w:left w:val="single" w:sz="4" w:space="0" w:color="auto"/>
              <w:bottom w:val="single" w:sz="4" w:space="0" w:color="auto"/>
              <w:right w:val="single" w:sz="4" w:space="0" w:color="auto"/>
            </w:tcBorders>
          </w:tcPr>
          <w:p w14:paraId="23EDA15B" w14:textId="77777777" w:rsidR="00D00AC0" w:rsidRPr="00607122" w:rsidRDefault="00D00AC0" w:rsidP="00607122">
            <w:pPr>
              <w:pStyle w:val="TableText"/>
              <w:spacing w:before="60" w:after="60"/>
              <w:rPr>
                <w:rFonts w:cs="Arial"/>
                <w:szCs w:val="18"/>
              </w:rPr>
            </w:pPr>
          </w:p>
        </w:tc>
      </w:tr>
      <w:tr w:rsidR="00D00AC0" w:rsidRPr="00607122" w14:paraId="586A5FB1"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261424D3" w14:textId="77777777" w:rsidR="00D00AC0" w:rsidRPr="00607122" w:rsidRDefault="00D00AC0" w:rsidP="0098529D">
            <w:pPr>
              <w:pStyle w:val="TableText"/>
              <w:spacing w:before="60" w:after="60"/>
              <w:jc w:val="center"/>
              <w:rPr>
                <w:rFonts w:cs="Arial"/>
                <w:szCs w:val="18"/>
              </w:rPr>
            </w:pPr>
            <w:r>
              <w:rPr>
                <w:rFonts w:cs="Arial"/>
                <w:szCs w:val="18"/>
              </w:rPr>
              <w:t>1</w:t>
            </w:r>
            <w:r w:rsidR="00CD3414">
              <w:rPr>
                <w:rFonts w:cs="Arial"/>
                <w:szCs w:val="18"/>
              </w:rPr>
              <w:t>6</w:t>
            </w:r>
            <w:r w:rsidRPr="00607122">
              <w:rPr>
                <w:rFonts w:cs="Arial"/>
                <w:szCs w:val="18"/>
              </w:rPr>
              <w:t>.</w:t>
            </w:r>
          </w:p>
        </w:tc>
        <w:tc>
          <w:tcPr>
            <w:tcW w:w="4239" w:type="pct"/>
            <w:tcBorders>
              <w:top w:val="single" w:sz="4" w:space="0" w:color="auto"/>
              <w:left w:val="single" w:sz="4" w:space="0" w:color="auto"/>
              <w:bottom w:val="single" w:sz="4" w:space="0" w:color="auto"/>
              <w:right w:val="single" w:sz="4" w:space="0" w:color="auto"/>
            </w:tcBorders>
          </w:tcPr>
          <w:p w14:paraId="6DD5781C" w14:textId="77777777" w:rsidR="00D00AC0" w:rsidRPr="00607122" w:rsidRDefault="00CC0344" w:rsidP="00607122">
            <w:pPr>
              <w:pStyle w:val="TableText"/>
              <w:spacing w:before="60" w:after="60"/>
              <w:rPr>
                <w:rFonts w:cs="Arial"/>
                <w:szCs w:val="18"/>
              </w:rPr>
            </w:pPr>
            <w:r>
              <w:rPr>
                <w:rFonts w:cs="Arial"/>
                <w:szCs w:val="18"/>
              </w:rPr>
              <w:t>Under “Treatment” Sub-menu, select “Warm-Up” mode</w:t>
            </w:r>
            <w:r w:rsidR="00CD3414">
              <w:rPr>
                <w:rFonts w:cs="Arial"/>
                <w:szCs w:val="18"/>
              </w:rPr>
              <w:t>, once Oxygen content is 0.5%.</w:t>
            </w:r>
          </w:p>
        </w:tc>
        <w:tc>
          <w:tcPr>
            <w:tcW w:w="497" w:type="pct"/>
            <w:tcBorders>
              <w:top w:val="single" w:sz="4" w:space="0" w:color="auto"/>
              <w:left w:val="single" w:sz="4" w:space="0" w:color="auto"/>
              <w:bottom w:val="single" w:sz="4" w:space="0" w:color="auto"/>
              <w:right w:val="single" w:sz="4" w:space="0" w:color="auto"/>
            </w:tcBorders>
          </w:tcPr>
          <w:p w14:paraId="316DB2A0" w14:textId="77777777" w:rsidR="00D00AC0" w:rsidRPr="00607122" w:rsidRDefault="00D00AC0" w:rsidP="00607122">
            <w:pPr>
              <w:pStyle w:val="TableText"/>
              <w:spacing w:before="60" w:after="60"/>
              <w:rPr>
                <w:rFonts w:cs="Arial"/>
                <w:szCs w:val="18"/>
              </w:rPr>
            </w:pPr>
          </w:p>
        </w:tc>
      </w:tr>
      <w:tr w:rsidR="00D00AC0" w:rsidRPr="00607122" w14:paraId="147FA547"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03E5F2A7" w14:textId="77777777" w:rsidR="00D00AC0" w:rsidRPr="00607122" w:rsidRDefault="00D00AC0" w:rsidP="0098529D">
            <w:pPr>
              <w:pStyle w:val="TableText"/>
              <w:spacing w:before="60" w:after="60"/>
              <w:jc w:val="center"/>
              <w:rPr>
                <w:rFonts w:cs="Arial"/>
                <w:szCs w:val="18"/>
              </w:rPr>
            </w:pPr>
            <w:r w:rsidRPr="00607122">
              <w:rPr>
                <w:rFonts w:cs="Arial"/>
                <w:szCs w:val="18"/>
              </w:rPr>
              <w:t>1</w:t>
            </w:r>
            <w:r w:rsidR="00CD3414">
              <w:rPr>
                <w:rFonts w:cs="Arial"/>
                <w:szCs w:val="18"/>
              </w:rPr>
              <w:t>7</w:t>
            </w:r>
            <w:r w:rsidRPr="00607122">
              <w:rPr>
                <w:rFonts w:cs="Arial"/>
                <w:szCs w:val="18"/>
              </w:rPr>
              <w:t>.</w:t>
            </w:r>
          </w:p>
        </w:tc>
        <w:tc>
          <w:tcPr>
            <w:tcW w:w="4239" w:type="pct"/>
            <w:tcBorders>
              <w:top w:val="single" w:sz="4" w:space="0" w:color="auto"/>
              <w:left w:val="single" w:sz="4" w:space="0" w:color="auto"/>
              <w:bottom w:val="single" w:sz="4" w:space="0" w:color="auto"/>
              <w:right w:val="single" w:sz="4" w:space="0" w:color="auto"/>
            </w:tcBorders>
          </w:tcPr>
          <w:p w14:paraId="279AB2FB" w14:textId="77777777" w:rsidR="00D00AC0" w:rsidRPr="00607122" w:rsidRDefault="00CC0344" w:rsidP="00607122">
            <w:pPr>
              <w:pStyle w:val="TableText"/>
              <w:spacing w:before="60" w:after="60"/>
              <w:rPr>
                <w:rFonts w:cs="Arial"/>
                <w:szCs w:val="18"/>
              </w:rPr>
            </w:pPr>
            <w:r>
              <w:rPr>
                <w:rFonts w:cs="Arial"/>
                <w:szCs w:val="18"/>
              </w:rPr>
              <w:t>Start the Ballast pump if the treatment is for ballast water in the Ballast tanks or the Fire and G.S. Pump if the tre</w:t>
            </w:r>
            <w:r w:rsidR="00CD3414">
              <w:rPr>
                <w:rFonts w:cs="Arial"/>
                <w:szCs w:val="18"/>
              </w:rPr>
              <w:t>atment is for ballast water in the Aft Peak tank.</w:t>
            </w:r>
          </w:p>
        </w:tc>
        <w:tc>
          <w:tcPr>
            <w:tcW w:w="497" w:type="pct"/>
            <w:tcBorders>
              <w:top w:val="single" w:sz="4" w:space="0" w:color="auto"/>
              <w:left w:val="single" w:sz="4" w:space="0" w:color="auto"/>
              <w:bottom w:val="single" w:sz="4" w:space="0" w:color="auto"/>
              <w:right w:val="single" w:sz="4" w:space="0" w:color="auto"/>
            </w:tcBorders>
          </w:tcPr>
          <w:p w14:paraId="74D11781" w14:textId="77777777" w:rsidR="00D00AC0" w:rsidRPr="00607122" w:rsidRDefault="00D00AC0" w:rsidP="00607122">
            <w:pPr>
              <w:pStyle w:val="TableText"/>
              <w:spacing w:before="60" w:after="60"/>
              <w:rPr>
                <w:rFonts w:cs="Arial"/>
                <w:szCs w:val="18"/>
              </w:rPr>
            </w:pPr>
          </w:p>
        </w:tc>
      </w:tr>
      <w:tr w:rsidR="00CD3414" w:rsidRPr="00607122" w14:paraId="27E2CE63" w14:textId="77777777" w:rsidTr="005538FE">
        <w:tc>
          <w:tcPr>
            <w:tcW w:w="264" w:type="pct"/>
            <w:tcBorders>
              <w:top w:val="single" w:sz="4" w:space="0" w:color="auto"/>
              <w:left w:val="single" w:sz="4" w:space="0" w:color="auto"/>
              <w:bottom w:val="single" w:sz="4" w:space="0" w:color="auto"/>
              <w:right w:val="single" w:sz="4" w:space="0" w:color="auto"/>
            </w:tcBorders>
            <w:vAlign w:val="center"/>
          </w:tcPr>
          <w:p w14:paraId="7FF4608B" w14:textId="77777777" w:rsidR="00CD3414" w:rsidRPr="00607122" w:rsidRDefault="00CD3414" w:rsidP="0098529D">
            <w:pPr>
              <w:pStyle w:val="TableText"/>
              <w:spacing w:before="60" w:after="60"/>
              <w:jc w:val="center"/>
              <w:rPr>
                <w:rFonts w:cs="Arial"/>
                <w:szCs w:val="18"/>
              </w:rPr>
            </w:pPr>
            <w:r>
              <w:rPr>
                <w:rFonts w:cs="Arial"/>
                <w:szCs w:val="18"/>
              </w:rPr>
              <w:t>18.</w:t>
            </w:r>
          </w:p>
        </w:tc>
        <w:tc>
          <w:tcPr>
            <w:tcW w:w="4239" w:type="pct"/>
            <w:tcBorders>
              <w:top w:val="single" w:sz="4" w:space="0" w:color="auto"/>
              <w:left w:val="single" w:sz="4" w:space="0" w:color="auto"/>
              <w:bottom w:val="single" w:sz="4" w:space="0" w:color="auto"/>
              <w:right w:val="single" w:sz="4" w:space="0" w:color="auto"/>
            </w:tcBorders>
          </w:tcPr>
          <w:p w14:paraId="5D28A6D6" w14:textId="77777777" w:rsidR="00CD3414" w:rsidRPr="00607122" w:rsidRDefault="00CD3414" w:rsidP="00607122">
            <w:pPr>
              <w:pStyle w:val="TableText"/>
              <w:spacing w:before="60" w:after="60"/>
              <w:rPr>
                <w:rFonts w:cs="Arial"/>
                <w:szCs w:val="18"/>
              </w:rPr>
            </w:pPr>
            <w:r>
              <w:rPr>
                <w:rFonts w:cs="Arial"/>
                <w:szCs w:val="18"/>
              </w:rPr>
              <w:t>After running on Warm-up for 5 minutes, select Port/Stbd. venturi and press Load/Treat Ballast</w:t>
            </w:r>
          </w:p>
        </w:tc>
        <w:tc>
          <w:tcPr>
            <w:tcW w:w="497" w:type="pct"/>
            <w:tcBorders>
              <w:top w:val="single" w:sz="4" w:space="0" w:color="auto"/>
              <w:left w:val="single" w:sz="4" w:space="0" w:color="auto"/>
              <w:bottom w:val="single" w:sz="4" w:space="0" w:color="auto"/>
              <w:right w:val="single" w:sz="4" w:space="0" w:color="auto"/>
            </w:tcBorders>
          </w:tcPr>
          <w:p w14:paraId="7B9540C5" w14:textId="77777777" w:rsidR="00CD3414" w:rsidRPr="00607122" w:rsidRDefault="00CD3414" w:rsidP="00607122">
            <w:pPr>
              <w:pStyle w:val="TableText"/>
              <w:spacing w:before="60" w:after="60"/>
              <w:rPr>
                <w:rFonts w:cs="Arial"/>
                <w:szCs w:val="18"/>
              </w:rPr>
            </w:pPr>
          </w:p>
        </w:tc>
      </w:tr>
      <w:tr w:rsidR="00D00AC0" w:rsidRPr="00607122" w14:paraId="02036760" w14:textId="77777777" w:rsidTr="0098529D">
        <w:tc>
          <w:tcPr>
            <w:tcW w:w="264" w:type="pct"/>
            <w:tcBorders>
              <w:top w:val="single" w:sz="4" w:space="0" w:color="auto"/>
              <w:left w:val="single" w:sz="4" w:space="0" w:color="auto"/>
              <w:bottom w:val="single" w:sz="4" w:space="0" w:color="auto"/>
              <w:right w:val="single" w:sz="4" w:space="0" w:color="auto"/>
            </w:tcBorders>
            <w:vAlign w:val="center"/>
          </w:tcPr>
          <w:p w14:paraId="43147984" w14:textId="77777777" w:rsidR="00D00AC0" w:rsidRPr="00607122" w:rsidRDefault="00CD3414" w:rsidP="0098529D">
            <w:pPr>
              <w:pStyle w:val="TableText"/>
              <w:spacing w:before="60" w:after="60"/>
              <w:jc w:val="center"/>
              <w:rPr>
                <w:rFonts w:cs="Arial"/>
                <w:szCs w:val="18"/>
              </w:rPr>
            </w:pPr>
            <w:r>
              <w:rPr>
                <w:rFonts w:cs="Arial"/>
                <w:szCs w:val="18"/>
              </w:rPr>
              <w:t>19.</w:t>
            </w:r>
          </w:p>
        </w:tc>
        <w:tc>
          <w:tcPr>
            <w:tcW w:w="4239" w:type="pct"/>
            <w:tcBorders>
              <w:top w:val="single" w:sz="4" w:space="0" w:color="auto"/>
              <w:left w:val="single" w:sz="4" w:space="0" w:color="auto"/>
              <w:bottom w:val="single" w:sz="4" w:space="0" w:color="auto"/>
              <w:right w:val="single" w:sz="4" w:space="0" w:color="auto"/>
            </w:tcBorders>
          </w:tcPr>
          <w:p w14:paraId="038696B9" w14:textId="77777777" w:rsidR="00D00AC0" w:rsidRPr="00607122" w:rsidRDefault="00CD3414" w:rsidP="00CD3414">
            <w:pPr>
              <w:pStyle w:val="TableText"/>
              <w:spacing w:before="60" w:after="60"/>
              <w:rPr>
                <w:rFonts w:cs="Arial"/>
                <w:szCs w:val="18"/>
              </w:rPr>
            </w:pPr>
            <w:r>
              <w:rPr>
                <w:rFonts w:cs="Arial"/>
                <w:szCs w:val="18"/>
              </w:rPr>
              <w:t>Check and ensure that the position of valve BV-501 is maintained between 25-27% in open state.</w:t>
            </w:r>
          </w:p>
        </w:tc>
        <w:tc>
          <w:tcPr>
            <w:tcW w:w="497" w:type="pct"/>
            <w:tcBorders>
              <w:top w:val="single" w:sz="4" w:space="0" w:color="auto"/>
              <w:left w:val="single" w:sz="4" w:space="0" w:color="auto"/>
              <w:bottom w:val="single" w:sz="4" w:space="0" w:color="auto"/>
              <w:right w:val="single" w:sz="4" w:space="0" w:color="auto"/>
            </w:tcBorders>
          </w:tcPr>
          <w:p w14:paraId="5D50DB8C" w14:textId="77777777" w:rsidR="00D00AC0" w:rsidRPr="00607122" w:rsidRDefault="00D00AC0" w:rsidP="00607122">
            <w:pPr>
              <w:pStyle w:val="TableText"/>
              <w:spacing w:before="60" w:after="60"/>
              <w:rPr>
                <w:rFonts w:cs="Arial"/>
                <w:szCs w:val="18"/>
              </w:rPr>
            </w:pPr>
          </w:p>
        </w:tc>
      </w:tr>
    </w:tbl>
    <w:p w14:paraId="57A1755C" w14:textId="77777777" w:rsidR="0098529D" w:rsidRDefault="0098529D"/>
    <w:p w14:paraId="6820400F" w14:textId="77777777" w:rsidR="0098529D" w:rsidRDefault="0098529D">
      <w:pPr>
        <w:rPr>
          <w:rFonts w:ascii="Arial" w:hAnsi="Arial" w:cs="Arial"/>
          <w:b/>
          <w:sz w:val="18"/>
          <w:szCs w:val="18"/>
        </w:rPr>
      </w:pPr>
      <w:r w:rsidRPr="0098529D">
        <w:rPr>
          <w:rFonts w:ascii="Arial" w:hAnsi="Arial" w:cs="Arial"/>
          <w:b/>
          <w:sz w:val="18"/>
          <w:szCs w:val="18"/>
        </w:rPr>
        <w:t xml:space="preserve">Notes: </w:t>
      </w:r>
      <w:r w:rsidRPr="0098529D">
        <w:rPr>
          <w:rFonts w:ascii="Arial" w:hAnsi="Arial" w:cs="Arial"/>
          <w:sz w:val="18"/>
          <w:szCs w:val="18"/>
        </w:rPr>
        <w:t xml:space="preserve">The checklist is only applicable to </w:t>
      </w:r>
      <w:r>
        <w:rPr>
          <w:rFonts w:ascii="Arial" w:hAnsi="Arial" w:cs="Arial"/>
          <w:sz w:val="18"/>
          <w:szCs w:val="18"/>
        </w:rPr>
        <w:t xml:space="preserve">the maker, </w:t>
      </w:r>
      <w:r w:rsidR="007A7FAF">
        <w:rPr>
          <w:rFonts w:ascii="Arial" w:hAnsi="Arial" w:cs="Arial"/>
          <w:sz w:val="18"/>
          <w:szCs w:val="18"/>
        </w:rPr>
        <w:t xml:space="preserve">Mitsubishi KK Ltd. </w:t>
      </w:r>
      <w:r w:rsidRPr="0098529D">
        <w:rPr>
          <w:rFonts w:ascii="Arial" w:hAnsi="Arial" w:cs="Arial"/>
          <w:sz w:val="18"/>
          <w:szCs w:val="18"/>
        </w:rPr>
        <w:t>BWTS.</w:t>
      </w:r>
      <w:r>
        <w:rPr>
          <w:rFonts w:ascii="Arial" w:hAnsi="Arial" w:cs="Arial"/>
          <w:b/>
          <w:sz w:val="18"/>
          <w:szCs w:val="18"/>
        </w:rPr>
        <w:t xml:space="preserve">  </w:t>
      </w:r>
    </w:p>
    <w:p w14:paraId="38467709" w14:textId="77777777" w:rsidR="004A5EAA" w:rsidRDefault="004A5EAA">
      <w:pPr>
        <w:rPr>
          <w:rFonts w:ascii="Arial" w:hAnsi="Arial" w:cs="Arial"/>
          <w:b/>
          <w:sz w:val="4"/>
          <w:szCs w:val="4"/>
        </w:rPr>
      </w:pPr>
    </w:p>
    <w:p w14:paraId="02516A37" w14:textId="77777777" w:rsidR="004A5EAA" w:rsidRDefault="004A5EAA">
      <w:pPr>
        <w:rPr>
          <w:rFonts w:ascii="Arial" w:hAnsi="Arial" w:cs="Arial"/>
          <w:b/>
          <w:sz w:val="4"/>
          <w:szCs w:val="4"/>
        </w:rPr>
      </w:pPr>
    </w:p>
    <w:p w14:paraId="08648093" w14:textId="77777777" w:rsidR="004A5EAA" w:rsidRDefault="004A5EAA">
      <w:pPr>
        <w:rPr>
          <w:rFonts w:ascii="Arial" w:hAnsi="Arial" w:cs="Arial"/>
          <w:b/>
          <w:sz w:val="4"/>
          <w:szCs w:val="4"/>
        </w:rPr>
      </w:pPr>
    </w:p>
    <w:tbl>
      <w:tblPr>
        <w:tblW w:w="5148" w:type="pct"/>
        <w:tblCellMar>
          <w:left w:w="0" w:type="dxa"/>
          <w:right w:w="0" w:type="dxa"/>
        </w:tblCellMar>
        <w:tblLook w:val="0000" w:firstRow="0" w:lastRow="0" w:firstColumn="0" w:lastColumn="0" w:noHBand="0" w:noVBand="0"/>
      </w:tblPr>
      <w:tblGrid>
        <w:gridCol w:w="1531"/>
        <w:gridCol w:w="2163"/>
        <w:gridCol w:w="1849"/>
        <w:gridCol w:w="1633"/>
        <w:gridCol w:w="2294"/>
      </w:tblGrid>
      <w:tr w:rsidR="00F41C23" w:rsidRPr="00DA0DDF" w14:paraId="1004A409" w14:textId="77777777" w:rsidTr="0098529D">
        <w:trPr>
          <w:trHeight w:hRule="exact" w:val="432"/>
        </w:trPr>
        <w:tc>
          <w:tcPr>
            <w:tcW w:w="808" w:type="pct"/>
            <w:vAlign w:val="center"/>
          </w:tcPr>
          <w:p w14:paraId="12A52A8D" w14:textId="77777777" w:rsidR="00F41C23" w:rsidRPr="00DA0DDF" w:rsidRDefault="00F41C23" w:rsidP="00CD3414">
            <w:pPr>
              <w:spacing w:before="60" w:after="60"/>
              <w:rPr>
                <w:rFonts w:ascii="Arial" w:hAnsi="Arial" w:cs="Arial"/>
                <w:b/>
                <w:bCs/>
                <w:sz w:val="18"/>
                <w:szCs w:val="18"/>
              </w:rPr>
            </w:pPr>
            <w:r>
              <w:rPr>
                <w:rFonts w:ascii="Arial" w:hAnsi="Arial" w:cs="Arial"/>
                <w:b/>
                <w:bCs/>
                <w:sz w:val="18"/>
                <w:szCs w:val="18"/>
                <w:lang w:val="en-CA"/>
              </w:rPr>
              <w:t>D</w:t>
            </w:r>
            <w:r w:rsidR="00CD3414">
              <w:rPr>
                <w:rFonts w:ascii="Arial" w:hAnsi="Arial" w:cs="Arial"/>
                <w:b/>
                <w:bCs/>
                <w:sz w:val="18"/>
                <w:szCs w:val="18"/>
                <w:lang w:val="en-CA"/>
              </w:rPr>
              <w:t>uty</w:t>
            </w:r>
            <w:r w:rsidRPr="00DA0DDF">
              <w:rPr>
                <w:rFonts w:ascii="Arial" w:hAnsi="Arial" w:cs="Arial"/>
                <w:b/>
                <w:bCs/>
                <w:sz w:val="18"/>
                <w:szCs w:val="18"/>
                <w:lang w:val="en-CA"/>
              </w:rPr>
              <w:t xml:space="preserve"> </w:t>
            </w:r>
            <w:r w:rsidR="00160376">
              <w:rPr>
                <w:rFonts w:ascii="Arial" w:hAnsi="Arial" w:cs="Arial"/>
                <w:b/>
                <w:bCs/>
                <w:sz w:val="18"/>
                <w:szCs w:val="18"/>
                <w:lang w:val="en-CA"/>
              </w:rPr>
              <w:t>Engine</w:t>
            </w:r>
            <w:r w:rsidRPr="00DA0DDF">
              <w:rPr>
                <w:rFonts w:ascii="Arial" w:hAnsi="Arial" w:cs="Arial"/>
                <w:b/>
                <w:bCs/>
                <w:sz w:val="18"/>
                <w:szCs w:val="18"/>
                <w:lang w:val="en-CA"/>
              </w:rPr>
              <w:t>er:</w:t>
            </w:r>
          </w:p>
        </w:tc>
        <w:tc>
          <w:tcPr>
            <w:tcW w:w="1142" w:type="pct"/>
            <w:tcBorders>
              <w:top w:val="nil"/>
              <w:left w:val="nil"/>
              <w:bottom w:val="single" w:sz="4" w:space="0" w:color="auto"/>
              <w:right w:val="nil"/>
            </w:tcBorders>
            <w:vAlign w:val="center"/>
          </w:tcPr>
          <w:p w14:paraId="655E0E98" w14:textId="77777777" w:rsidR="00F41C23" w:rsidRPr="00DA0DDF" w:rsidRDefault="00F41C23" w:rsidP="001A4FDA">
            <w:pPr>
              <w:spacing w:before="120" w:after="120"/>
              <w:rPr>
                <w:rFonts w:ascii="Arial" w:hAnsi="Arial" w:cs="Arial"/>
                <w:sz w:val="18"/>
                <w:szCs w:val="18"/>
              </w:rPr>
            </w:pPr>
            <w:r w:rsidRPr="00DA0DDF">
              <w:rPr>
                <w:rFonts w:ascii="Arial" w:hAnsi="Arial" w:cs="Arial"/>
                <w:sz w:val="18"/>
                <w:szCs w:val="18"/>
                <w:lang w:val="en-CA"/>
              </w:rPr>
              <w:t> </w:t>
            </w:r>
          </w:p>
        </w:tc>
        <w:tc>
          <w:tcPr>
            <w:tcW w:w="976" w:type="pct"/>
          </w:tcPr>
          <w:p w14:paraId="6462D4B1" w14:textId="77777777" w:rsidR="00F41C23" w:rsidRDefault="00F41C23" w:rsidP="001A4FDA">
            <w:pPr>
              <w:spacing w:before="60" w:after="60"/>
              <w:jc w:val="right"/>
              <w:rPr>
                <w:rFonts w:ascii="Arial" w:hAnsi="Arial" w:cs="Arial"/>
                <w:b/>
                <w:bCs/>
                <w:sz w:val="18"/>
                <w:szCs w:val="18"/>
              </w:rPr>
            </w:pPr>
          </w:p>
        </w:tc>
        <w:tc>
          <w:tcPr>
            <w:tcW w:w="862" w:type="pct"/>
            <w:tcMar>
              <w:top w:w="0" w:type="dxa"/>
              <w:left w:w="108" w:type="dxa"/>
              <w:bottom w:w="0" w:type="dxa"/>
              <w:right w:w="108" w:type="dxa"/>
            </w:tcMar>
            <w:vAlign w:val="center"/>
          </w:tcPr>
          <w:p w14:paraId="3E866903" w14:textId="77777777" w:rsidR="00F41C23" w:rsidRPr="00DA0DDF" w:rsidRDefault="00160376" w:rsidP="00160376">
            <w:pPr>
              <w:spacing w:before="60" w:after="60"/>
              <w:jc w:val="right"/>
              <w:rPr>
                <w:rFonts w:ascii="Arial" w:hAnsi="Arial" w:cs="Arial"/>
                <w:b/>
                <w:bCs/>
                <w:sz w:val="18"/>
                <w:szCs w:val="18"/>
              </w:rPr>
            </w:pPr>
            <w:r>
              <w:rPr>
                <w:rFonts w:ascii="Arial" w:hAnsi="Arial" w:cs="Arial"/>
                <w:b/>
                <w:bCs/>
                <w:sz w:val="18"/>
                <w:szCs w:val="18"/>
              </w:rPr>
              <w:t>Chief Engineer:</w:t>
            </w:r>
          </w:p>
        </w:tc>
        <w:tc>
          <w:tcPr>
            <w:tcW w:w="1211" w:type="pct"/>
            <w:tcBorders>
              <w:top w:val="nil"/>
              <w:left w:val="nil"/>
              <w:bottom w:val="single" w:sz="4" w:space="0" w:color="auto"/>
              <w:right w:val="nil"/>
            </w:tcBorders>
            <w:tcMar>
              <w:top w:w="0" w:type="dxa"/>
              <w:left w:w="108" w:type="dxa"/>
              <w:bottom w:w="0" w:type="dxa"/>
              <w:right w:w="108" w:type="dxa"/>
            </w:tcMar>
            <w:vAlign w:val="center"/>
          </w:tcPr>
          <w:p w14:paraId="45776258" w14:textId="77777777" w:rsidR="00F41C23" w:rsidRPr="00DA0DDF" w:rsidRDefault="00F41C23" w:rsidP="001A4FDA">
            <w:pPr>
              <w:spacing w:before="120" w:after="120"/>
              <w:rPr>
                <w:rFonts w:ascii="Arial" w:hAnsi="Arial" w:cs="Arial"/>
                <w:sz w:val="18"/>
                <w:szCs w:val="18"/>
              </w:rPr>
            </w:pPr>
          </w:p>
        </w:tc>
      </w:tr>
      <w:tr w:rsidR="00F41C23" w:rsidRPr="00DA0DDF" w14:paraId="26808CE5" w14:textId="77777777" w:rsidTr="0098529D">
        <w:trPr>
          <w:trHeight w:hRule="exact" w:val="432"/>
        </w:trPr>
        <w:tc>
          <w:tcPr>
            <w:tcW w:w="808" w:type="pct"/>
            <w:vAlign w:val="center"/>
          </w:tcPr>
          <w:p w14:paraId="1D15AD7C" w14:textId="77777777" w:rsidR="00F41C23" w:rsidRPr="00DA0DDF" w:rsidRDefault="00F41C23" w:rsidP="001A4FDA">
            <w:pPr>
              <w:spacing w:before="60" w:after="60"/>
              <w:rPr>
                <w:rFonts w:ascii="Arial" w:hAnsi="Arial" w:cs="Arial"/>
                <w:b/>
                <w:bCs/>
                <w:sz w:val="18"/>
                <w:szCs w:val="18"/>
              </w:rPr>
            </w:pPr>
            <w:r w:rsidRPr="00DA0DDF">
              <w:rPr>
                <w:rFonts w:ascii="Arial" w:hAnsi="Arial" w:cs="Arial"/>
                <w:b/>
                <w:bCs/>
                <w:sz w:val="18"/>
                <w:szCs w:val="18"/>
                <w:lang w:val="en-CA"/>
              </w:rPr>
              <w:t>Signature:</w:t>
            </w:r>
          </w:p>
        </w:tc>
        <w:tc>
          <w:tcPr>
            <w:tcW w:w="1142" w:type="pct"/>
            <w:tcBorders>
              <w:top w:val="single" w:sz="4" w:space="0" w:color="auto"/>
              <w:left w:val="nil"/>
              <w:bottom w:val="single" w:sz="4" w:space="0" w:color="auto"/>
              <w:right w:val="nil"/>
            </w:tcBorders>
            <w:vAlign w:val="center"/>
          </w:tcPr>
          <w:p w14:paraId="63AD3B12" w14:textId="77777777" w:rsidR="000A7AD0" w:rsidRDefault="00F41C23" w:rsidP="001A4FDA">
            <w:pPr>
              <w:spacing w:before="120" w:after="120"/>
              <w:rPr>
                <w:rFonts w:ascii="Arial" w:hAnsi="Arial" w:cs="Arial"/>
                <w:sz w:val="18"/>
                <w:szCs w:val="18"/>
              </w:rPr>
            </w:pPr>
            <w:r w:rsidRPr="00DA0DDF">
              <w:rPr>
                <w:rFonts w:ascii="Arial" w:hAnsi="Arial" w:cs="Arial"/>
                <w:sz w:val="18"/>
                <w:szCs w:val="18"/>
                <w:lang w:val="en-CA"/>
              </w:rPr>
              <w:t> </w:t>
            </w:r>
          </w:p>
          <w:p w14:paraId="07C01741" w14:textId="77777777" w:rsidR="000A7AD0" w:rsidRPr="000A7AD0" w:rsidRDefault="000A7AD0" w:rsidP="000A7AD0">
            <w:pPr>
              <w:rPr>
                <w:rFonts w:ascii="Arial" w:hAnsi="Arial" w:cs="Arial"/>
                <w:sz w:val="18"/>
                <w:szCs w:val="18"/>
              </w:rPr>
            </w:pPr>
          </w:p>
          <w:p w14:paraId="6F48D9CC" w14:textId="77777777" w:rsidR="00F41C23" w:rsidRPr="000A7AD0" w:rsidRDefault="00F41C23" w:rsidP="000A7AD0">
            <w:pPr>
              <w:rPr>
                <w:rFonts w:ascii="Arial" w:hAnsi="Arial" w:cs="Arial"/>
                <w:sz w:val="18"/>
                <w:szCs w:val="18"/>
              </w:rPr>
            </w:pPr>
          </w:p>
        </w:tc>
        <w:tc>
          <w:tcPr>
            <w:tcW w:w="976" w:type="pct"/>
          </w:tcPr>
          <w:p w14:paraId="58D8685C" w14:textId="77777777" w:rsidR="00F41C23" w:rsidRDefault="00F41C23" w:rsidP="001A4FDA">
            <w:pPr>
              <w:spacing w:before="60" w:after="60"/>
              <w:jc w:val="right"/>
              <w:rPr>
                <w:rFonts w:ascii="Arial" w:hAnsi="Arial" w:cs="Arial"/>
                <w:b/>
                <w:bCs/>
                <w:sz w:val="18"/>
                <w:szCs w:val="18"/>
              </w:rPr>
            </w:pPr>
          </w:p>
        </w:tc>
        <w:tc>
          <w:tcPr>
            <w:tcW w:w="862" w:type="pct"/>
            <w:tcMar>
              <w:top w:w="0" w:type="dxa"/>
              <w:left w:w="108" w:type="dxa"/>
              <w:bottom w:w="0" w:type="dxa"/>
              <w:right w:w="108" w:type="dxa"/>
            </w:tcMar>
            <w:vAlign w:val="center"/>
          </w:tcPr>
          <w:p w14:paraId="01287801" w14:textId="77777777" w:rsidR="00F41C23" w:rsidRPr="00DA0DDF" w:rsidRDefault="00F41C23" w:rsidP="001A4FDA">
            <w:pPr>
              <w:spacing w:before="60" w:after="60"/>
              <w:jc w:val="right"/>
              <w:rPr>
                <w:rFonts w:ascii="Arial" w:hAnsi="Arial" w:cs="Arial"/>
                <w:b/>
                <w:bCs/>
                <w:sz w:val="18"/>
                <w:szCs w:val="18"/>
              </w:rPr>
            </w:pPr>
            <w:r>
              <w:rPr>
                <w:rFonts w:ascii="Arial" w:hAnsi="Arial" w:cs="Arial"/>
                <w:b/>
                <w:bCs/>
                <w:sz w:val="18"/>
                <w:szCs w:val="18"/>
              </w:rPr>
              <w:t>Signature:</w:t>
            </w:r>
          </w:p>
        </w:tc>
        <w:tc>
          <w:tcPr>
            <w:tcW w:w="1211" w:type="pct"/>
            <w:tcBorders>
              <w:top w:val="single" w:sz="4" w:space="0" w:color="auto"/>
              <w:left w:val="nil"/>
              <w:bottom w:val="single" w:sz="4" w:space="0" w:color="auto"/>
              <w:right w:val="nil"/>
            </w:tcBorders>
            <w:tcMar>
              <w:top w:w="0" w:type="dxa"/>
              <w:left w:w="108" w:type="dxa"/>
              <w:bottom w:w="0" w:type="dxa"/>
              <w:right w:w="108" w:type="dxa"/>
            </w:tcMar>
            <w:vAlign w:val="center"/>
          </w:tcPr>
          <w:p w14:paraId="08906508" w14:textId="77777777" w:rsidR="00F41C23" w:rsidRPr="00DA0DDF" w:rsidRDefault="00F41C23" w:rsidP="001A4FDA">
            <w:pPr>
              <w:spacing w:before="120" w:after="120"/>
              <w:rPr>
                <w:rFonts w:ascii="Arial" w:hAnsi="Arial" w:cs="Arial"/>
                <w:sz w:val="18"/>
                <w:szCs w:val="18"/>
              </w:rPr>
            </w:pPr>
          </w:p>
        </w:tc>
      </w:tr>
    </w:tbl>
    <w:p w14:paraId="2CA9F9E2" w14:textId="77777777" w:rsidR="00F41C23" w:rsidRPr="00607122" w:rsidRDefault="00F41C23" w:rsidP="004A5EAA">
      <w:pPr>
        <w:pStyle w:val="BodyTextFlushLeft"/>
        <w:rPr>
          <w:rFonts w:cs="Arial"/>
          <w:sz w:val="18"/>
          <w:szCs w:val="18"/>
        </w:rPr>
      </w:pPr>
    </w:p>
    <w:sectPr w:rsidR="00F41C23" w:rsidRPr="00607122" w:rsidSect="00783A5D">
      <w:headerReference w:type="even" r:id="rId8"/>
      <w:headerReference w:type="default" r:id="rId9"/>
      <w:footerReference w:type="even" r:id="rId10"/>
      <w:footerReference w:type="default" r:id="rId11"/>
      <w:headerReference w:type="first" r:id="rId12"/>
      <w:footerReference w:type="first" r:id="rId13"/>
      <w:pgSz w:w="12242" w:h="15842" w:code="1"/>
      <w:pgMar w:top="0" w:right="1712" w:bottom="1134" w:left="1440" w:header="567" w:footer="34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8988A" w14:textId="77777777" w:rsidR="00923923" w:rsidRDefault="00923923" w:rsidP="005846A8">
      <w:pPr>
        <w:pStyle w:val="tablebullet"/>
      </w:pPr>
      <w:r>
        <w:separator/>
      </w:r>
    </w:p>
  </w:endnote>
  <w:endnote w:type="continuationSeparator" w:id="0">
    <w:p w14:paraId="6D1759AC" w14:textId="77777777" w:rsidR="00923923" w:rsidRDefault="00923923" w:rsidP="005846A8">
      <w:pPr>
        <w:pStyle w:val="tablebulle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rlett">
    <w:panose1 w:val="00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4714F" w14:textId="77777777" w:rsidR="00783A5D" w:rsidRDefault="00783A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D00AC0" w:rsidRPr="00040AAB" w14:paraId="1C3F6FDC" w14:textId="77777777" w:rsidTr="00783A5D">
      <w:trPr>
        <w:trHeight w:hRule="exact" w:val="227"/>
      </w:trPr>
      <w:tc>
        <w:tcPr>
          <w:tcW w:w="1134" w:type="dxa"/>
          <w:shd w:val="clear" w:color="auto" w:fill="auto"/>
        </w:tcPr>
        <w:p w14:paraId="6A8EC33E" w14:textId="77777777" w:rsidR="00D00AC0" w:rsidRPr="00040AAB" w:rsidRDefault="00D00AC0" w:rsidP="00063DD8">
          <w:pPr>
            <w:pStyle w:val="Footer"/>
            <w:rPr>
              <w:rFonts w:ascii="Arial" w:eastAsia="SimSun" w:hAnsi="Arial" w:cs="Arial"/>
              <w:color w:val="333333"/>
              <w:sz w:val="14"/>
              <w:szCs w:val="14"/>
            </w:rPr>
          </w:pPr>
          <w:r w:rsidRPr="00040AAB">
            <w:rPr>
              <w:rFonts w:ascii="Arial" w:eastAsia="SimSun" w:hAnsi="Arial" w:cs="Arial"/>
              <w:color w:val="333333"/>
              <w:sz w:val="14"/>
              <w:szCs w:val="14"/>
            </w:rPr>
            <w:t>Form No:</w:t>
          </w:r>
        </w:p>
      </w:tc>
      <w:tc>
        <w:tcPr>
          <w:tcW w:w="1134" w:type="dxa"/>
          <w:shd w:val="clear" w:color="auto" w:fill="auto"/>
        </w:tcPr>
        <w:p w14:paraId="01E50987" w14:textId="77777777" w:rsidR="00D00AC0" w:rsidRPr="00040AAB" w:rsidRDefault="007A7FAF" w:rsidP="00063DD8">
          <w:pPr>
            <w:pStyle w:val="Footer"/>
            <w:rPr>
              <w:rFonts w:ascii="Arial" w:eastAsia="SimSun" w:hAnsi="Arial" w:cs="Arial"/>
              <w:color w:val="333333"/>
              <w:sz w:val="14"/>
              <w:szCs w:val="14"/>
            </w:rPr>
          </w:pPr>
          <w:r>
            <w:rPr>
              <w:rFonts w:ascii="Arial" w:eastAsia="SimSun" w:hAnsi="Arial" w:cs="Arial"/>
              <w:color w:val="333333"/>
              <w:sz w:val="14"/>
              <w:szCs w:val="14"/>
            </w:rPr>
            <w:t>MA072</w:t>
          </w:r>
          <w:r w:rsidR="000A7AD0">
            <w:rPr>
              <w:rFonts w:ascii="Arial" w:eastAsia="SimSun" w:hAnsi="Arial" w:cs="Arial"/>
              <w:color w:val="333333"/>
              <w:sz w:val="14"/>
              <w:szCs w:val="14"/>
            </w:rPr>
            <w:t>A</w:t>
          </w:r>
        </w:p>
      </w:tc>
      <w:tc>
        <w:tcPr>
          <w:tcW w:w="1134" w:type="dxa"/>
          <w:shd w:val="clear" w:color="auto" w:fill="auto"/>
        </w:tcPr>
        <w:p w14:paraId="4AAB3804" w14:textId="77777777" w:rsidR="00D00AC0" w:rsidRPr="00040AAB" w:rsidRDefault="00D00AC0" w:rsidP="00063DD8">
          <w:pPr>
            <w:pStyle w:val="Footer"/>
            <w:rPr>
              <w:rFonts w:ascii="Arial" w:eastAsia="SimSun" w:hAnsi="Arial" w:cs="Arial"/>
              <w:color w:val="333333"/>
              <w:sz w:val="14"/>
              <w:szCs w:val="14"/>
            </w:rPr>
          </w:pPr>
        </w:p>
      </w:tc>
      <w:tc>
        <w:tcPr>
          <w:tcW w:w="1134" w:type="dxa"/>
          <w:shd w:val="clear" w:color="auto" w:fill="auto"/>
        </w:tcPr>
        <w:p w14:paraId="2590BF3C" w14:textId="77777777" w:rsidR="00D00AC0" w:rsidRPr="00040AAB" w:rsidRDefault="00D00AC0" w:rsidP="00063DD8">
          <w:pPr>
            <w:pStyle w:val="Footer"/>
            <w:rPr>
              <w:rFonts w:ascii="Arial" w:eastAsia="SimSun" w:hAnsi="Arial" w:cs="Arial"/>
              <w:color w:val="333333"/>
              <w:sz w:val="14"/>
              <w:szCs w:val="14"/>
            </w:rPr>
          </w:pPr>
          <w:r w:rsidRPr="00040AAB">
            <w:rPr>
              <w:rFonts w:ascii="Arial" w:eastAsia="SimSun" w:hAnsi="Arial" w:cs="Arial"/>
              <w:color w:val="333333"/>
              <w:sz w:val="14"/>
              <w:szCs w:val="14"/>
            </w:rPr>
            <w:t>Issue No:</w:t>
          </w:r>
        </w:p>
      </w:tc>
      <w:tc>
        <w:tcPr>
          <w:tcW w:w="1134" w:type="dxa"/>
          <w:shd w:val="clear" w:color="auto" w:fill="auto"/>
        </w:tcPr>
        <w:p w14:paraId="3D0519BE" w14:textId="77777777" w:rsidR="00D00AC0" w:rsidRPr="00040AAB" w:rsidRDefault="00783A5D" w:rsidP="00063DD8">
          <w:pPr>
            <w:pStyle w:val="Footer"/>
            <w:rPr>
              <w:rFonts w:ascii="Arial" w:eastAsia="SimSun" w:hAnsi="Arial" w:cs="Arial"/>
              <w:color w:val="333333"/>
              <w:sz w:val="14"/>
              <w:szCs w:val="14"/>
            </w:rPr>
          </w:pPr>
          <w:r>
            <w:rPr>
              <w:rFonts w:ascii="Arial" w:eastAsia="SimSun" w:hAnsi="Arial" w:cs="Arial"/>
              <w:color w:val="333333"/>
              <w:sz w:val="14"/>
              <w:szCs w:val="14"/>
            </w:rPr>
            <w:t>000</w:t>
          </w:r>
        </w:p>
      </w:tc>
      <w:tc>
        <w:tcPr>
          <w:tcW w:w="1134" w:type="dxa"/>
          <w:shd w:val="clear" w:color="auto" w:fill="auto"/>
        </w:tcPr>
        <w:p w14:paraId="07B969AA" w14:textId="77777777" w:rsidR="00D00AC0" w:rsidRPr="00040AAB" w:rsidRDefault="00D00AC0" w:rsidP="00063DD8">
          <w:pPr>
            <w:pStyle w:val="Footer"/>
            <w:rPr>
              <w:rFonts w:ascii="Arial" w:eastAsia="SimSun" w:hAnsi="Arial" w:cs="Arial"/>
              <w:color w:val="333333"/>
              <w:sz w:val="14"/>
              <w:szCs w:val="14"/>
            </w:rPr>
          </w:pPr>
        </w:p>
      </w:tc>
      <w:tc>
        <w:tcPr>
          <w:tcW w:w="1134" w:type="dxa"/>
          <w:shd w:val="clear" w:color="auto" w:fill="auto"/>
        </w:tcPr>
        <w:p w14:paraId="6F1757DA" w14:textId="77777777" w:rsidR="00D00AC0" w:rsidRPr="00040AAB" w:rsidRDefault="00D00AC0" w:rsidP="00063DD8">
          <w:pPr>
            <w:pStyle w:val="Footer"/>
            <w:rPr>
              <w:rFonts w:ascii="Arial" w:eastAsia="SimSun" w:hAnsi="Arial" w:cs="Arial"/>
              <w:color w:val="333333"/>
              <w:sz w:val="14"/>
              <w:szCs w:val="14"/>
            </w:rPr>
          </w:pPr>
          <w:r w:rsidRPr="00040AAB">
            <w:rPr>
              <w:rFonts w:ascii="Arial" w:eastAsia="SimSun" w:hAnsi="Arial" w:cs="Arial"/>
              <w:color w:val="333333"/>
              <w:sz w:val="14"/>
              <w:szCs w:val="14"/>
            </w:rPr>
            <w:t>Issued By:</w:t>
          </w:r>
        </w:p>
      </w:tc>
      <w:tc>
        <w:tcPr>
          <w:tcW w:w="1134" w:type="dxa"/>
          <w:shd w:val="clear" w:color="auto" w:fill="auto"/>
        </w:tcPr>
        <w:p w14:paraId="6D922FC4" w14:textId="77777777" w:rsidR="00D00AC0" w:rsidRPr="00040AAB" w:rsidRDefault="00783A5D" w:rsidP="00063DD8">
          <w:pPr>
            <w:pStyle w:val="Footer"/>
            <w:rPr>
              <w:rFonts w:ascii="Arial" w:eastAsia="SimSun" w:hAnsi="Arial" w:cs="Arial"/>
              <w:color w:val="333333"/>
              <w:sz w:val="14"/>
              <w:szCs w:val="14"/>
            </w:rPr>
          </w:pPr>
          <w:r>
            <w:rPr>
              <w:rFonts w:ascii="Arial" w:eastAsia="SimSun" w:hAnsi="Arial" w:cs="Arial"/>
              <w:noProof/>
              <w:color w:val="333333"/>
              <w:sz w:val="14"/>
              <w:szCs w:val="14"/>
            </w:rPr>
            <w:t>GM (MSD)</w:t>
          </w:r>
        </w:p>
      </w:tc>
    </w:tr>
    <w:tr w:rsidR="00D00AC0" w:rsidRPr="00040AAB" w14:paraId="5AAAAF17" w14:textId="77777777" w:rsidTr="00783A5D">
      <w:trPr>
        <w:trHeight w:hRule="exact" w:val="227"/>
      </w:trPr>
      <w:tc>
        <w:tcPr>
          <w:tcW w:w="1134" w:type="dxa"/>
          <w:shd w:val="clear" w:color="auto" w:fill="auto"/>
        </w:tcPr>
        <w:p w14:paraId="48B315ED" w14:textId="77777777" w:rsidR="00D00AC0" w:rsidRPr="00040AAB" w:rsidRDefault="00D00AC0" w:rsidP="00063DD8">
          <w:pPr>
            <w:pStyle w:val="Footer"/>
            <w:rPr>
              <w:rFonts w:ascii="Arial" w:eastAsia="SimSun" w:hAnsi="Arial" w:cs="Arial"/>
              <w:color w:val="333333"/>
              <w:sz w:val="14"/>
              <w:szCs w:val="14"/>
            </w:rPr>
          </w:pPr>
          <w:r w:rsidRPr="00040AAB">
            <w:rPr>
              <w:rFonts w:ascii="Arial" w:eastAsia="SimSun" w:hAnsi="Arial" w:cs="Arial"/>
              <w:color w:val="333333"/>
              <w:sz w:val="14"/>
              <w:szCs w:val="14"/>
            </w:rPr>
            <w:t>Folder No:</w:t>
          </w:r>
        </w:p>
      </w:tc>
      <w:tc>
        <w:tcPr>
          <w:tcW w:w="1134" w:type="dxa"/>
          <w:shd w:val="clear" w:color="auto" w:fill="auto"/>
        </w:tcPr>
        <w:p w14:paraId="195CF81F" w14:textId="77777777" w:rsidR="00D00AC0" w:rsidRPr="00040AAB" w:rsidRDefault="007C24EF" w:rsidP="00063DD8">
          <w:pPr>
            <w:pStyle w:val="Footer"/>
            <w:rPr>
              <w:rFonts w:ascii="Arial" w:eastAsia="SimSun" w:hAnsi="Arial" w:cs="Arial"/>
              <w:color w:val="333333"/>
              <w:sz w:val="14"/>
              <w:szCs w:val="14"/>
            </w:rPr>
          </w:pPr>
          <w:r>
            <w:rPr>
              <w:rFonts w:ascii="Arial" w:eastAsia="SimSun" w:hAnsi="Arial" w:cs="Arial"/>
              <w:color w:val="333333"/>
              <w:sz w:val="14"/>
              <w:szCs w:val="14"/>
            </w:rPr>
            <w:t>TR11E</w:t>
          </w:r>
        </w:p>
      </w:tc>
      <w:tc>
        <w:tcPr>
          <w:tcW w:w="1134" w:type="dxa"/>
          <w:shd w:val="clear" w:color="auto" w:fill="auto"/>
        </w:tcPr>
        <w:p w14:paraId="1EA77AA1" w14:textId="77777777" w:rsidR="00D00AC0" w:rsidRPr="00040AAB" w:rsidRDefault="00D00AC0" w:rsidP="00063DD8">
          <w:pPr>
            <w:pStyle w:val="Footer"/>
            <w:rPr>
              <w:rFonts w:ascii="Arial" w:eastAsia="SimSun" w:hAnsi="Arial" w:cs="Arial"/>
              <w:color w:val="333333"/>
              <w:sz w:val="14"/>
              <w:szCs w:val="14"/>
            </w:rPr>
          </w:pPr>
        </w:p>
      </w:tc>
      <w:tc>
        <w:tcPr>
          <w:tcW w:w="1134" w:type="dxa"/>
          <w:shd w:val="clear" w:color="auto" w:fill="auto"/>
        </w:tcPr>
        <w:p w14:paraId="1A184343" w14:textId="77777777" w:rsidR="00D00AC0" w:rsidRPr="00040AAB" w:rsidRDefault="00D00AC0" w:rsidP="00063DD8">
          <w:pPr>
            <w:pStyle w:val="Footer"/>
            <w:rPr>
              <w:rFonts w:ascii="Arial" w:eastAsia="SimSun" w:hAnsi="Arial" w:cs="Arial"/>
              <w:color w:val="333333"/>
              <w:sz w:val="14"/>
              <w:szCs w:val="14"/>
            </w:rPr>
          </w:pPr>
          <w:r w:rsidRPr="00040AAB">
            <w:rPr>
              <w:rFonts w:ascii="Arial" w:eastAsia="SimSun" w:hAnsi="Arial" w:cs="Arial"/>
              <w:color w:val="333333"/>
              <w:sz w:val="14"/>
              <w:szCs w:val="14"/>
            </w:rPr>
            <w:t>Issue Date:</w:t>
          </w:r>
        </w:p>
      </w:tc>
      <w:tc>
        <w:tcPr>
          <w:tcW w:w="1134" w:type="dxa"/>
          <w:shd w:val="clear" w:color="auto" w:fill="auto"/>
        </w:tcPr>
        <w:p w14:paraId="2FD933D6" w14:textId="77777777" w:rsidR="00D00AC0" w:rsidRPr="00040AAB" w:rsidRDefault="00783A5D" w:rsidP="000A7AD0">
          <w:pPr>
            <w:pStyle w:val="Footer"/>
            <w:rPr>
              <w:rFonts w:ascii="Arial" w:eastAsia="SimSun" w:hAnsi="Arial" w:cs="Arial"/>
              <w:color w:val="333333"/>
              <w:sz w:val="14"/>
              <w:szCs w:val="14"/>
            </w:rPr>
          </w:pPr>
          <w:r>
            <w:rPr>
              <w:rFonts w:ascii="Arial" w:eastAsia="SimSun" w:hAnsi="Arial" w:cs="Arial"/>
              <w:color w:val="333333"/>
              <w:sz w:val="14"/>
              <w:szCs w:val="14"/>
            </w:rPr>
            <w:t>15-Oct-20</w:t>
          </w:r>
        </w:p>
      </w:tc>
      <w:tc>
        <w:tcPr>
          <w:tcW w:w="1134" w:type="dxa"/>
          <w:shd w:val="clear" w:color="auto" w:fill="auto"/>
        </w:tcPr>
        <w:p w14:paraId="3AA6720F" w14:textId="77777777" w:rsidR="00D00AC0" w:rsidRPr="00040AAB" w:rsidRDefault="00D00AC0" w:rsidP="00063DD8">
          <w:pPr>
            <w:pStyle w:val="Footer"/>
            <w:rPr>
              <w:rFonts w:ascii="Arial" w:eastAsia="SimSun" w:hAnsi="Arial" w:cs="Arial"/>
              <w:color w:val="333333"/>
              <w:sz w:val="14"/>
              <w:szCs w:val="14"/>
            </w:rPr>
          </w:pPr>
        </w:p>
      </w:tc>
      <w:tc>
        <w:tcPr>
          <w:tcW w:w="1134" w:type="dxa"/>
          <w:shd w:val="clear" w:color="auto" w:fill="auto"/>
        </w:tcPr>
        <w:p w14:paraId="1E7270B5" w14:textId="77777777" w:rsidR="00D00AC0" w:rsidRPr="00040AAB" w:rsidRDefault="00D00AC0" w:rsidP="00063DD8">
          <w:pPr>
            <w:pStyle w:val="Footer"/>
            <w:rPr>
              <w:rFonts w:ascii="Arial" w:eastAsia="SimSun" w:hAnsi="Arial" w:cs="Arial"/>
              <w:color w:val="333333"/>
              <w:sz w:val="14"/>
              <w:szCs w:val="14"/>
            </w:rPr>
          </w:pPr>
          <w:r w:rsidRPr="00040AAB">
            <w:rPr>
              <w:rFonts w:ascii="Arial" w:eastAsia="SimSun" w:hAnsi="Arial" w:cs="Arial"/>
              <w:color w:val="333333"/>
              <w:sz w:val="14"/>
              <w:szCs w:val="14"/>
            </w:rPr>
            <w:t xml:space="preserve">Page: </w:t>
          </w:r>
        </w:p>
      </w:tc>
      <w:tc>
        <w:tcPr>
          <w:tcW w:w="1134" w:type="dxa"/>
          <w:shd w:val="clear" w:color="auto" w:fill="auto"/>
        </w:tcPr>
        <w:p w14:paraId="275A9FA1" w14:textId="77777777" w:rsidR="00D00AC0" w:rsidRPr="00040AAB" w:rsidRDefault="00D00AC0" w:rsidP="00063DD8">
          <w:pPr>
            <w:pStyle w:val="Footer"/>
            <w:rPr>
              <w:rFonts w:ascii="Arial" w:eastAsia="SimSun" w:hAnsi="Arial" w:cs="Arial"/>
              <w:color w:val="333333"/>
              <w:sz w:val="14"/>
              <w:szCs w:val="14"/>
            </w:rPr>
          </w:pPr>
          <w:r w:rsidRPr="00040AAB">
            <w:rPr>
              <w:rFonts w:ascii="Arial" w:eastAsia="SimSun" w:hAnsi="Arial" w:cs="Arial"/>
              <w:color w:val="333333"/>
              <w:sz w:val="14"/>
              <w:szCs w:val="14"/>
            </w:rPr>
            <w:fldChar w:fldCharType="begin"/>
          </w:r>
          <w:r w:rsidRPr="00040AAB">
            <w:rPr>
              <w:rFonts w:ascii="Arial" w:eastAsia="SimSun" w:hAnsi="Arial" w:cs="Arial"/>
              <w:color w:val="333333"/>
              <w:sz w:val="14"/>
              <w:szCs w:val="14"/>
            </w:rPr>
            <w:instrText xml:space="preserve"> PAGE </w:instrText>
          </w:r>
          <w:r w:rsidRPr="00040AAB">
            <w:rPr>
              <w:rFonts w:ascii="Arial" w:eastAsia="SimSun" w:hAnsi="Arial" w:cs="Arial"/>
              <w:color w:val="333333"/>
              <w:sz w:val="14"/>
              <w:szCs w:val="14"/>
            </w:rPr>
            <w:fldChar w:fldCharType="separate"/>
          </w:r>
          <w:r w:rsidR="005538FE">
            <w:rPr>
              <w:rFonts w:ascii="Arial" w:eastAsia="SimSun" w:hAnsi="Arial" w:cs="Arial"/>
              <w:noProof/>
              <w:color w:val="333333"/>
              <w:sz w:val="14"/>
              <w:szCs w:val="14"/>
            </w:rPr>
            <w:t>1</w:t>
          </w:r>
          <w:r w:rsidRPr="00040AAB">
            <w:rPr>
              <w:rFonts w:ascii="Arial" w:eastAsia="SimSun" w:hAnsi="Arial" w:cs="Arial"/>
              <w:color w:val="333333"/>
              <w:sz w:val="14"/>
              <w:szCs w:val="14"/>
            </w:rPr>
            <w:fldChar w:fldCharType="end"/>
          </w:r>
          <w:r w:rsidRPr="00040AAB">
            <w:rPr>
              <w:rFonts w:ascii="Arial" w:eastAsia="SimSun" w:hAnsi="Arial" w:cs="Arial"/>
              <w:color w:val="333333"/>
              <w:sz w:val="14"/>
              <w:szCs w:val="14"/>
            </w:rPr>
            <w:t xml:space="preserve"> of </w:t>
          </w:r>
          <w:r w:rsidRPr="00040AAB">
            <w:rPr>
              <w:rFonts w:ascii="Arial" w:eastAsia="SimSun" w:hAnsi="Arial" w:cs="Arial"/>
              <w:color w:val="333333"/>
              <w:sz w:val="14"/>
              <w:szCs w:val="14"/>
            </w:rPr>
            <w:fldChar w:fldCharType="begin"/>
          </w:r>
          <w:r w:rsidRPr="00040AAB">
            <w:rPr>
              <w:rFonts w:ascii="Arial" w:eastAsia="SimSun" w:hAnsi="Arial" w:cs="Arial"/>
              <w:color w:val="333333"/>
              <w:sz w:val="14"/>
              <w:szCs w:val="14"/>
            </w:rPr>
            <w:instrText xml:space="preserve"> NUMPAGES </w:instrText>
          </w:r>
          <w:r w:rsidRPr="00040AAB">
            <w:rPr>
              <w:rFonts w:ascii="Arial" w:eastAsia="SimSun" w:hAnsi="Arial" w:cs="Arial"/>
              <w:color w:val="333333"/>
              <w:sz w:val="14"/>
              <w:szCs w:val="14"/>
            </w:rPr>
            <w:fldChar w:fldCharType="separate"/>
          </w:r>
          <w:r w:rsidR="005538FE">
            <w:rPr>
              <w:rFonts w:ascii="Arial" w:eastAsia="SimSun" w:hAnsi="Arial" w:cs="Arial"/>
              <w:noProof/>
              <w:color w:val="333333"/>
              <w:sz w:val="14"/>
              <w:szCs w:val="14"/>
            </w:rPr>
            <w:t>1</w:t>
          </w:r>
          <w:r w:rsidRPr="00040AAB">
            <w:rPr>
              <w:rFonts w:ascii="Arial" w:eastAsia="SimSun" w:hAnsi="Arial" w:cs="Arial"/>
              <w:color w:val="333333"/>
              <w:sz w:val="14"/>
              <w:szCs w:val="14"/>
            </w:rPr>
            <w:fldChar w:fldCharType="end"/>
          </w:r>
        </w:p>
      </w:tc>
    </w:tr>
  </w:tbl>
  <w:p w14:paraId="610BE9C2" w14:textId="77777777" w:rsidR="00D00AC0" w:rsidRDefault="00D00A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9438B" w14:textId="77777777" w:rsidR="00783A5D" w:rsidRDefault="00783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C0946" w14:textId="77777777" w:rsidR="00923923" w:rsidRDefault="00923923" w:rsidP="005846A8">
      <w:pPr>
        <w:pStyle w:val="tablebullet"/>
      </w:pPr>
      <w:r>
        <w:separator/>
      </w:r>
    </w:p>
  </w:footnote>
  <w:footnote w:type="continuationSeparator" w:id="0">
    <w:p w14:paraId="087E8D21" w14:textId="77777777" w:rsidR="00923923" w:rsidRDefault="00923923" w:rsidP="005846A8">
      <w:pPr>
        <w:pStyle w:val="tablebulle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FC7AC" w14:textId="77777777" w:rsidR="00783A5D" w:rsidRDefault="00783A5D">
    <w:pPr>
      <w:pStyle w:val="Header"/>
    </w:pPr>
    <w:r>
      <w:pict w14:anchorId="6C6F0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4.55pt;height:40.0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4C4FA" w14:textId="77777777" w:rsidR="00D00AC0" w:rsidRPr="00783A5D" w:rsidRDefault="00783A5D" w:rsidP="00783A5D">
    <w:pPr>
      <w:pStyle w:val="Header"/>
    </w:pPr>
    <w:r>
      <w:pict w14:anchorId="7AA74E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40.0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507B8" w14:textId="77777777" w:rsidR="00783A5D" w:rsidRDefault="00783A5D">
    <w:pPr>
      <w:pStyle w:val="Header"/>
    </w:pPr>
    <w:r>
      <w:pict w14:anchorId="7F71EF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4.55pt;height:40.0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96DE3"/>
    <w:multiLevelType w:val="hybridMultilevel"/>
    <w:tmpl w:val="EDAEB63A"/>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7F29C8"/>
    <w:multiLevelType w:val="singleLevel"/>
    <w:tmpl w:val="E01AD3AC"/>
    <w:lvl w:ilvl="0">
      <w:start w:val="1"/>
      <w:numFmt w:val="decimal"/>
      <w:pStyle w:val="NumberedProcedure"/>
      <w:lvlText w:val="%1."/>
      <w:lvlJc w:val="left"/>
      <w:pPr>
        <w:tabs>
          <w:tab w:val="num" w:pos="1224"/>
        </w:tabs>
        <w:ind w:left="1224" w:hanging="504"/>
      </w:pPr>
      <w:rPr>
        <w:rFonts w:hint="default"/>
      </w:rPr>
    </w:lvl>
  </w:abstractNum>
  <w:abstractNum w:abstractNumId="2" w15:restartNumberingAfterBreak="0">
    <w:nsid w:val="511A2B48"/>
    <w:multiLevelType w:val="hybridMultilevel"/>
    <w:tmpl w:val="3C0E2FB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5167600"/>
    <w:multiLevelType w:val="hybridMultilevel"/>
    <w:tmpl w:val="B092723C"/>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F6E6FA7"/>
    <w:multiLevelType w:val="hybridMultilevel"/>
    <w:tmpl w:val="48EA9358"/>
    <w:lvl w:ilvl="0" w:tplc="A0B4B9D6">
      <w:start w:val="1"/>
      <w:numFmt w:val="bullet"/>
      <w:pStyle w:val="BulletLis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5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46A8"/>
    <w:rsid w:val="00032017"/>
    <w:rsid w:val="00040AAB"/>
    <w:rsid w:val="00063DD8"/>
    <w:rsid w:val="00093E33"/>
    <w:rsid w:val="000A04E8"/>
    <w:rsid w:val="000A7AD0"/>
    <w:rsid w:val="000C35DC"/>
    <w:rsid w:val="00111AD7"/>
    <w:rsid w:val="00117DE5"/>
    <w:rsid w:val="00160376"/>
    <w:rsid w:val="001815BB"/>
    <w:rsid w:val="001A4FDA"/>
    <w:rsid w:val="00217661"/>
    <w:rsid w:val="0024055D"/>
    <w:rsid w:val="00280312"/>
    <w:rsid w:val="002C1AE3"/>
    <w:rsid w:val="0034318C"/>
    <w:rsid w:val="0036670D"/>
    <w:rsid w:val="00366C48"/>
    <w:rsid w:val="00374D2D"/>
    <w:rsid w:val="00390C3F"/>
    <w:rsid w:val="003A2CB4"/>
    <w:rsid w:val="003C41C1"/>
    <w:rsid w:val="003D5BF5"/>
    <w:rsid w:val="003F3716"/>
    <w:rsid w:val="004146A0"/>
    <w:rsid w:val="0042277A"/>
    <w:rsid w:val="0044539D"/>
    <w:rsid w:val="0046697D"/>
    <w:rsid w:val="004A5EAA"/>
    <w:rsid w:val="005538FE"/>
    <w:rsid w:val="005545F4"/>
    <w:rsid w:val="005846A8"/>
    <w:rsid w:val="005936C1"/>
    <w:rsid w:val="005B1955"/>
    <w:rsid w:val="00607122"/>
    <w:rsid w:val="00653FED"/>
    <w:rsid w:val="00677183"/>
    <w:rsid w:val="00683AA0"/>
    <w:rsid w:val="0070587A"/>
    <w:rsid w:val="00715BA4"/>
    <w:rsid w:val="00730882"/>
    <w:rsid w:val="00744447"/>
    <w:rsid w:val="00775980"/>
    <w:rsid w:val="00783A5D"/>
    <w:rsid w:val="007A7FAF"/>
    <w:rsid w:val="007C24EF"/>
    <w:rsid w:val="007C2521"/>
    <w:rsid w:val="008E346D"/>
    <w:rsid w:val="009020EB"/>
    <w:rsid w:val="00923923"/>
    <w:rsid w:val="0092715C"/>
    <w:rsid w:val="00973DB9"/>
    <w:rsid w:val="0098529D"/>
    <w:rsid w:val="00997247"/>
    <w:rsid w:val="009C7D51"/>
    <w:rsid w:val="009E21FC"/>
    <w:rsid w:val="009E478D"/>
    <w:rsid w:val="00A074E2"/>
    <w:rsid w:val="00AA24DE"/>
    <w:rsid w:val="00B30844"/>
    <w:rsid w:val="00B3527F"/>
    <w:rsid w:val="00BB654F"/>
    <w:rsid w:val="00BF3F5C"/>
    <w:rsid w:val="00C023B6"/>
    <w:rsid w:val="00C11578"/>
    <w:rsid w:val="00CA6042"/>
    <w:rsid w:val="00CC0344"/>
    <w:rsid w:val="00CD3414"/>
    <w:rsid w:val="00CF6A0B"/>
    <w:rsid w:val="00D00AC0"/>
    <w:rsid w:val="00D17175"/>
    <w:rsid w:val="00D37263"/>
    <w:rsid w:val="00E308DF"/>
    <w:rsid w:val="00E40F9E"/>
    <w:rsid w:val="00E8201D"/>
    <w:rsid w:val="00EE6768"/>
    <w:rsid w:val="00EF274D"/>
    <w:rsid w:val="00F1650F"/>
    <w:rsid w:val="00F41C23"/>
    <w:rsid w:val="00F42E18"/>
    <w:rsid w:val="00F561EB"/>
    <w:rsid w:val="00FF3107"/>
    <w:rsid w:val="00FF70C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68677037"/>
  <w15:chartTrackingRefBased/>
  <w15:docId w15:val="{1BEECD2D-F677-42B2-B4F1-0D084AD3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next w:val="BodyText"/>
    <w:qFormat/>
    <w:pPr>
      <w:keepNext/>
      <w:spacing w:before="180" w:after="120"/>
      <w:outlineLvl w:val="0"/>
    </w:pPr>
    <w:rPr>
      <w:rFonts w:ascii="Arial" w:hAnsi="Arial"/>
      <w:b/>
      <w:kern w:val="28"/>
      <w:sz w:val="26"/>
      <w:lang w:val="en-US" w:eastAsia="en-US"/>
    </w:rPr>
  </w:style>
  <w:style w:type="paragraph" w:styleId="Heading2">
    <w:name w:val="heading 2"/>
    <w:next w:val="BodyText"/>
    <w:qFormat/>
    <w:pPr>
      <w:keepNext/>
      <w:spacing w:before="60" w:after="60"/>
      <w:outlineLvl w:val="1"/>
    </w:pPr>
    <w:rPr>
      <w:rFonts w:ascii="Arial" w:hAnsi="Arial"/>
      <w:b/>
      <w:sz w:val="22"/>
      <w:lang w:val="en-US" w:eastAsia="en-US"/>
    </w:rPr>
  </w:style>
  <w:style w:type="paragraph" w:styleId="Heading3">
    <w:name w:val="heading 3"/>
    <w:next w:val="Normal"/>
    <w:qFormat/>
    <w:pPr>
      <w:keepNext/>
      <w:spacing w:before="180" w:after="180"/>
      <w:outlineLvl w:val="2"/>
    </w:pPr>
    <w:rPr>
      <w:rFonts w:ascii="Courier New" w:hAnsi="Courier New"/>
      <w:color w:val="000000"/>
      <w:sz w:val="22"/>
      <w:lang w:val="en-US" w:eastAsia="en-US"/>
    </w:rPr>
  </w:style>
  <w:style w:type="paragraph" w:styleId="Heading4">
    <w:name w:val="heading 4"/>
    <w:next w:val="Normal"/>
    <w:qFormat/>
    <w:pPr>
      <w:keepNext/>
      <w:spacing w:before="120" w:after="120"/>
      <w:outlineLvl w:val="3"/>
    </w:pPr>
    <w:rPr>
      <w:rFonts w:ascii="Courier New" w:hAnsi="Courier New"/>
      <w:sz w:val="18"/>
      <w:lang w:val="en-US" w:eastAsia="en-US"/>
    </w:rPr>
  </w:style>
  <w:style w:type="paragraph" w:styleId="Heading5">
    <w:name w:val="heading 5"/>
    <w:next w:val="Normal"/>
    <w:qFormat/>
    <w:pPr>
      <w:keepNext/>
      <w:spacing w:before="120" w:after="60"/>
      <w:outlineLvl w:val="4"/>
    </w:pPr>
    <w:rPr>
      <w:rFonts w:ascii="Arial" w:hAnsi="Arial"/>
      <w:b/>
      <w:sz w:val="16"/>
      <w:lang w:val="en-US" w:eastAsia="en-US"/>
    </w:rPr>
  </w:style>
  <w:style w:type="paragraph" w:styleId="Heading6">
    <w:name w:val="heading 6"/>
    <w:next w:val="Normal"/>
    <w:qFormat/>
    <w:pPr>
      <w:keepNext/>
      <w:spacing w:before="120" w:after="60"/>
      <w:outlineLvl w:val="5"/>
    </w:pPr>
    <w:rPr>
      <w:rFonts w:ascii="Arial" w:hAnsi="Arial"/>
      <w:i/>
      <w:kern w:val="28"/>
      <w:sz w:val="16"/>
      <w:lang w:val="en-US" w:eastAsia="en-US"/>
    </w:rPr>
  </w:style>
  <w:style w:type="paragraph" w:styleId="Heading7">
    <w:name w:val="heading 7"/>
    <w:next w:val="Normal"/>
    <w:qFormat/>
    <w:pPr>
      <w:spacing w:before="120" w:after="120"/>
      <w:outlineLvl w:val="6"/>
    </w:pPr>
    <w:rPr>
      <w:rFonts w:ascii="Arial" w:hAnsi="Arial"/>
      <w:sz w:val="16"/>
      <w:lang w:val="en-US" w:eastAsia="en-US"/>
    </w:rPr>
  </w:style>
  <w:style w:type="paragraph" w:styleId="Heading8">
    <w:name w:val="heading 8"/>
    <w:next w:val="Normal"/>
    <w:qFormat/>
    <w:pPr>
      <w:keepNext/>
      <w:spacing w:before="120" w:after="120"/>
      <w:outlineLvl w:val="7"/>
    </w:pPr>
    <w:rPr>
      <w:rFonts w:ascii="Arial" w:hAnsi="Arial"/>
      <w:sz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pacing w:before="120" w:after="120"/>
      <w:ind w:left="720"/>
    </w:pPr>
    <w:rPr>
      <w:rFonts w:ascii="Arial" w:hAnsi="Arial"/>
      <w:sz w:val="22"/>
      <w:lang w:val="en-US" w:eastAsia="en-U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er3">
    <w:name w:val="Header 3"/>
    <w:rPr>
      <w:rFonts w:ascii="Arial" w:hAnsi="Arial"/>
      <w:b/>
      <w:sz w:val="16"/>
      <w:lang w:val="en-US" w:eastAsia="en-US"/>
    </w:rPr>
  </w:style>
  <w:style w:type="paragraph" w:styleId="Footer">
    <w:name w:val="footer"/>
    <w:pPr>
      <w:tabs>
        <w:tab w:val="center" w:pos="4320"/>
        <w:tab w:val="right" w:pos="8640"/>
      </w:tabs>
    </w:pPr>
    <w:rPr>
      <w:lang w:val="en-US" w:eastAsia="en-US"/>
    </w:rPr>
  </w:style>
  <w:style w:type="paragraph" w:customStyle="1" w:styleId="BodyTextFlushLeft">
    <w:name w:val="Body Text Flush Left"/>
    <w:basedOn w:val="BodyText"/>
    <w:pPr>
      <w:ind w:left="0"/>
    </w:pPr>
  </w:style>
  <w:style w:type="character" w:customStyle="1" w:styleId="bold">
    <w:name w:val="bold"/>
    <w:rPr>
      <w:b/>
    </w:rPr>
  </w:style>
  <w:style w:type="paragraph" w:customStyle="1" w:styleId="BulletList">
    <w:name w:val="Bullet List"/>
    <w:pPr>
      <w:numPr>
        <w:numId w:val="4"/>
      </w:numPr>
      <w:spacing w:before="120" w:after="120"/>
    </w:pPr>
    <w:rPr>
      <w:rFonts w:ascii="Arial" w:hAnsi="Arial"/>
      <w:sz w:val="22"/>
      <w:lang w:val="en-US" w:eastAsia="en-US"/>
    </w:rPr>
  </w:style>
  <w:style w:type="paragraph" w:customStyle="1" w:styleId="BulletListIndent">
    <w:name w:val="Bullet List Indent"/>
    <w:pPr>
      <w:numPr>
        <w:numId w:val="3"/>
      </w:numPr>
      <w:spacing w:before="120" w:after="120"/>
    </w:pPr>
    <w:rPr>
      <w:rFonts w:ascii="Arial" w:hAnsi="Arial"/>
      <w:sz w:val="22"/>
      <w:lang w:val="en-CA" w:eastAsia="en-US"/>
    </w:rPr>
  </w:style>
  <w:style w:type="character" w:styleId="Hyperlink">
    <w:name w:val="Hyperlink"/>
    <w:rPr>
      <w:color w:val="0000FF"/>
      <w:u w:val="single"/>
    </w:rPr>
  </w:style>
  <w:style w:type="character" w:customStyle="1" w:styleId="italic">
    <w:name w:val="italic"/>
    <w:rPr>
      <w:i/>
    </w:rPr>
  </w:style>
  <w:style w:type="paragraph" w:customStyle="1" w:styleId="NumberedProcedure">
    <w:name w:val="Numbered Procedure"/>
    <w:basedOn w:val="BodyText"/>
    <w:pPr>
      <w:keepNext/>
      <w:numPr>
        <w:numId w:val="1"/>
      </w:numPr>
    </w:pPr>
  </w:style>
  <w:style w:type="paragraph" w:customStyle="1" w:styleId="picture">
    <w:name w:val="picture"/>
    <w:next w:val="Normal"/>
    <w:pPr>
      <w:spacing w:after="240"/>
      <w:ind w:left="1080"/>
    </w:pPr>
    <w:rPr>
      <w:lang w:val="en-US" w:eastAsia="en-US"/>
    </w:rPr>
  </w:style>
  <w:style w:type="paragraph" w:customStyle="1" w:styleId="tablebullet">
    <w:name w:val="table bullet"/>
    <w:pPr>
      <w:numPr>
        <w:numId w:val="2"/>
      </w:numPr>
    </w:pPr>
    <w:rPr>
      <w:rFonts w:ascii="Arial" w:hAnsi="Arial"/>
      <w:sz w:val="18"/>
      <w:lang w:val="en-US" w:eastAsia="en-US"/>
    </w:rPr>
  </w:style>
  <w:style w:type="paragraph" w:customStyle="1" w:styleId="TableHeader">
    <w:name w:val="Table Header"/>
    <w:pPr>
      <w:spacing w:before="60" w:after="60"/>
    </w:pPr>
    <w:rPr>
      <w:rFonts w:ascii="Arial" w:hAnsi="Arial"/>
      <w:b/>
      <w:lang w:val="en-US" w:eastAsia="en-US"/>
    </w:rPr>
  </w:style>
  <w:style w:type="paragraph" w:customStyle="1" w:styleId="TableText">
    <w:name w:val="Table Text"/>
    <w:pPr>
      <w:spacing w:before="120" w:after="120"/>
    </w:pPr>
    <w:rPr>
      <w:rFonts w:ascii="Arial" w:hAnsi="Arial"/>
      <w:sz w:val="18"/>
      <w:lang w:val="en-US" w:eastAsia="en-US"/>
    </w:rPr>
  </w:style>
  <w:style w:type="paragraph" w:customStyle="1" w:styleId="TitleorRank">
    <w:name w:val="Title or Rank"/>
    <w:basedOn w:val="Heading2"/>
    <w:pPr>
      <w:ind w:left="432"/>
      <w:outlineLvl w:val="2"/>
    </w:pPr>
    <w:rPr>
      <w:i/>
    </w:rPr>
  </w:style>
  <w:style w:type="paragraph" w:customStyle="1" w:styleId="Warning">
    <w:name w:val="Warning"/>
    <w:basedOn w:val="BodyText"/>
    <w:rPr>
      <w:i/>
    </w:rPr>
  </w:style>
  <w:style w:type="paragraph" w:styleId="BalloonText">
    <w:name w:val="Balloon Text"/>
    <w:basedOn w:val="Normal"/>
    <w:semiHidden/>
    <w:rsid w:val="00653FED"/>
    <w:rPr>
      <w:rFonts w:ascii="Tahoma" w:hAnsi="Tahoma" w:cs="Tahoma"/>
      <w:sz w:val="16"/>
      <w:szCs w:val="16"/>
    </w:rPr>
  </w:style>
  <w:style w:type="paragraph" w:customStyle="1" w:styleId="tabletext0">
    <w:name w:val="tabletext"/>
    <w:basedOn w:val="Normal"/>
    <w:rsid w:val="00775980"/>
    <w:pPr>
      <w:spacing w:before="120" w:after="120"/>
    </w:pPr>
    <w:rPr>
      <w:rFonts w:ascii="Verdana" w:hAnsi="Verdana"/>
      <w:sz w:val="18"/>
      <w:szCs w:val="18"/>
      <w:lang w:val="en-US"/>
    </w:rPr>
  </w:style>
  <w:style w:type="table" w:styleId="TableGrid">
    <w:name w:val="Table Grid"/>
    <w:basedOn w:val="TableNormal"/>
    <w:rsid w:val="00F42E1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flushleft0">
    <w:name w:val="bodytextflushleft"/>
    <w:basedOn w:val="Normal"/>
    <w:rsid w:val="0034318C"/>
    <w:pPr>
      <w:spacing w:before="120" w:after="120"/>
    </w:pPr>
    <w:rPr>
      <w:rFonts w:ascii="Verdana" w:hAnsi="Verdana"/>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8AE21-9256-437D-A702-9F86DEB66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2095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cp:lastModifiedBy>Suki Szeto</cp:lastModifiedBy>
  <cp:revision>4</cp:revision>
  <cp:lastPrinted>2007-08-18T02:00:00Z</cp:lastPrinted>
  <dcterms:created xsi:type="dcterms:W3CDTF">2020-10-20T06:37:00Z</dcterms:created>
  <dcterms:modified xsi:type="dcterms:W3CDTF">2020-10-21T06:31:00Z</dcterms:modified>
</cp:coreProperties>
</file>