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F357" w14:textId="77777777" w:rsidR="009C713D" w:rsidRDefault="009C713D" w:rsidP="009C713D">
      <w:pPr>
        <w:pStyle w:val="BodyText"/>
        <w:jc w:val="center"/>
        <w:rPr>
          <w:rFonts w:ascii="Arial" w:hAnsi="Arial" w:cs="Arial"/>
          <w:b/>
          <w:sz w:val="20"/>
          <w:u w:val="single"/>
        </w:rPr>
      </w:pPr>
      <w:r w:rsidRPr="00FB22F8">
        <w:rPr>
          <w:rFonts w:ascii="Arial" w:hAnsi="Arial" w:cs="Arial"/>
          <w:b/>
          <w:sz w:val="20"/>
          <w:u w:val="single"/>
        </w:rPr>
        <w:t>EMERGENCY TOWING DRILL</w:t>
      </w:r>
    </w:p>
    <w:p w14:paraId="7DC20AF9" w14:textId="77777777" w:rsidR="007E14CB" w:rsidRDefault="007E14CB"/>
    <w:tbl>
      <w:tblPr>
        <w:tblStyle w:val="TableGrid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2666"/>
        <w:gridCol w:w="1447"/>
        <w:gridCol w:w="1017"/>
        <w:gridCol w:w="2439"/>
      </w:tblGrid>
      <w:tr w:rsidR="00A36AE9" w:rsidRPr="00C157F9" w14:paraId="3AB63B3F" w14:textId="77777777">
        <w:trPr>
          <w:trHeight w:val="360"/>
        </w:trPr>
        <w:tc>
          <w:tcPr>
            <w:tcW w:w="1548" w:type="dxa"/>
            <w:vAlign w:val="bottom"/>
          </w:tcPr>
          <w:p w14:paraId="182BDF68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157F9">
              <w:rPr>
                <w:rFonts w:ascii="Arial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vAlign w:val="bottom"/>
          </w:tcPr>
          <w:p w14:paraId="66265073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447" w:type="dxa"/>
            <w:vAlign w:val="bottom"/>
          </w:tcPr>
          <w:p w14:paraId="66E94A67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17" w:type="dxa"/>
            <w:vAlign w:val="bottom"/>
          </w:tcPr>
          <w:p w14:paraId="1ED85093" w14:textId="77777777" w:rsidR="00A36AE9" w:rsidRPr="00C157F9" w:rsidRDefault="00A36AE9" w:rsidP="00A36AE9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157F9">
              <w:rPr>
                <w:rFonts w:ascii="Arial" w:hAnsi="Arial" w:cs="Arial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vAlign w:val="bottom"/>
          </w:tcPr>
          <w:p w14:paraId="6B97D43E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36AE9" w:rsidRPr="00C157F9" w14:paraId="550EBE8E" w14:textId="77777777">
        <w:trPr>
          <w:trHeight w:val="360"/>
        </w:trPr>
        <w:tc>
          <w:tcPr>
            <w:tcW w:w="1548" w:type="dxa"/>
            <w:vAlign w:val="bottom"/>
          </w:tcPr>
          <w:p w14:paraId="7C0BA8F0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157F9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vAlign w:val="bottom"/>
          </w:tcPr>
          <w:p w14:paraId="665D0336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03" w:type="dxa"/>
            <w:gridSpan w:val="3"/>
            <w:vAlign w:val="bottom"/>
          </w:tcPr>
          <w:p w14:paraId="19510A8F" w14:textId="77777777" w:rsidR="00A36AE9" w:rsidRPr="00C157F9" w:rsidRDefault="00A36AE9" w:rsidP="00A36A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31B126AD" w14:textId="77777777" w:rsidR="00A36AE9" w:rsidRDefault="00A36AE9"/>
    <w:p w14:paraId="7425938F" w14:textId="77777777" w:rsidR="00A36AE9" w:rsidRDefault="00A36AE9"/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6758"/>
        <w:gridCol w:w="989"/>
        <w:gridCol w:w="916"/>
      </w:tblGrid>
      <w:tr w:rsidR="00447BC9" w:rsidRPr="00FB22F8" w14:paraId="0AAF4DBF" w14:textId="77777777">
        <w:trPr>
          <w:trHeight w:val="432"/>
        </w:trPr>
        <w:tc>
          <w:tcPr>
            <w:tcW w:w="3960" w:type="pct"/>
            <w:gridSpan w:val="2"/>
            <w:tcBorders>
              <w:bottom w:val="nil"/>
            </w:tcBorders>
            <w:vAlign w:val="center"/>
          </w:tcPr>
          <w:p w14:paraId="609AD78C" w14:textId="77777777" w:rsidR="00447BC9" w:rsidRPr="00FB22F8" w:rsidRDefault="00447BC9" w:rsidP="00FB22F8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FB22F8">
              <w:rPr>
                <w:rFonts w:ascii="Arial" w:hAnsi="Arial" w:cs="Arial"/>
                <w:sz w:val="18"/>
                <w:szCs w:val="18"/>
              </w:rPr>
              <w:t>Emergency Towing Arrangement Drill</w:t>
            </w:r>
            <w:r w:rsidR="007E14CB">
              <w:rPr>
                <w:rFonts w:ascii="Arial" w:hAnsi="Arial" w:cs="Arial"/>
                <w:sz w:val="18"/>
                <w:szCs w:val="18"/>
              </w:rPr>
              <w:t xml:space="preserve"> (if fitted)</w:t>
            </w:r>
          </w:p>
        </w:tc>
        <w:tc>
          <w:tcPr>
            <w:tcW w:w="540" w:type="pct"/>
            <w:vAlign w:val="center"/>
          </w:tcPr>
          <w:p w14:paraId="2F4C06C7" w14:textId="77777777" w:rsidR="00447BC9" w:rsidRPr="00FB22F8" w:rsidRDefault="00447BC9" w:rsidP="00A36AE9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22F8">
              <w:rPr>
                <w:rFonts w:ascii="Arial" w:hAnsi="Arial" w:cs="Arial"/>
                <w:sz w:val="18"/>
                <w:szCs w:val="18"/>
              </w:rPr>
              <w:t>Yes</w:t>
            </w:r>
            <w:r w:rsidR="00A36AE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B22F8">
              <w:rPr>
                <w:rFonts w:ascii="Arial" w:hAnsi="Arial" w:cs="Arial"/>
                <w:sz w:val="18"/>
                <w:szCs w:val="18"/>
              </w:rPr>
              <w:t>(</w:t>
            </w:r>
            <w:r w:rsidRPr="00FB22F8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FB22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00" w:type="pct"/>
            <w:vAlign w:val="center"/>
          </w:tcPr>
          <w:p w14:paraId="12ACCFDF" w14:textId="77777777" w:rsidR="00447BC9" w:rsidRPr="00FB22F8" w:rsidRDefault="00447BC9" w:rsidP="00A36AE9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22F8">
              <w:rPr>
                <w:rFonts w:ascii="Arial" w:hAnsi="Arial" w:cs="Arial"/>
                <w:sz w:val="18"/>
                <w:szCs w:val="18"/>
              </w:rPr>
              <w:t>No</w:t>
            </w:r>
            <w:r w:rsidR="00A36AE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B22F8">
              <w:rPr>
                <w:rFonts w:ascii="Arial" w:hAnsi="Arial" w:cs="Arial"/>
                <w:sz w:val="18"/>
                <w:szCs w:val="18"/>
              </w:rPr>
              <w:t>(</w:t>
            </w:r>
            <w:r w:rsidRPr="00FB22F8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FB22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47BC9" w:rsidRPr="00FB22F8" w14:paraId="00F198B5" w14:textId="77777777">
        <w:tc>
          <w:tcPr>
            <w:tcW w:w="269" w:type="pct"/>
            <w:tcBorders>
              <w:right w:val="single" w:sz="4" w:space="0" w:color="auto"/>
            </w:tcBorders>
          </w:tcPr>
          <w:p w14:paraId="0246408D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5C27227C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Confirm that forward and aft emergency towing arrangements are ready for use.</w:t>
            </w:r>
          </w:p>
        </w:tc>
        <w:tc>
          <w:tcPr>
            <w:tcW w:w="540" w:type="pct"/>
          </w:tcPr>
          <w:p w14:paraId="6462D0E7" w14:textId="77777777" w:rsidR="00447BC9" w:rsidRPr="00FB22F8" w:rsidRDefault="00447BC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500" w:type="pct"/>
          </w:tcPr>
          <w:p w14:paraId="3DF5274D" w14:textId="77777777" w:rsidR="00447BC9" w:rsidRPr="00FB22F8" w:rsidRDefault="00447BC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447BC9" w:rsidRPr="00FB22F8" w14:paraId="400DB47D" w14:textId="77777777">
        <w:tc>
          <w:tcPr>
            <w:tcW w:w="269" w:type="pct"/>
            <w:tcBorders>
              <w:right w:val="single" w:sz="4" w:space="0" w:color="auto"/>
            </w:tcBorders>
          </w:tcPr>
          <w:p w14:paraId="4F7C022A" w14:textId="77777777" w:rsidR="00447BC9" w:rsidRPr="005A3209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A3209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636BD7C1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A3209">
              <w:rPr>
                <w:rFonts w:ascii="Arial" w:hAnsi="Arial" w:cs="Arial"/>
                <w:szCs w:val="18"/>
              </w:rPr>
              <w:t xml:space="preserve">Simulate coordination of the towing plan with </w:t>
            </w:r>
            <w:r w:rsidR="00112EC1" w:rsidRPr="005A3209">
              <w:rPr>
                <w:rFonts w:ascii="Arial" w:hAnsi="Arial" w:cs="Arial"/>
                <w:szCs w:val="18"/>
              </w:rPr>
              <w:t>TCC</w:t>
            </w:r>
            <w:r w:rsidRPr="005A3209">
              <w:rPr>
                <w:rFonts w:ascii="Arial" w:hAnsi="Arial" w:cs="Arial"/>
                <w:szCs w:val="18"/>
              </w:rPr>
              <w:t xml:space="preserve"> Management.</w:t>
            </w:r>
          </w:p>
        </w:tc>
        <w:tc>
          <w:tcPr>
            <w:tcW w:w="540" w:type="pct"/>
          </w:tcPr>
          <w:p w14:paraId="3B40EBE4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44A66F6E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189E8C33" w14:textId="77777777">
        <w:tc>
          <w:tcPr>
            <w:tcW w:w="269" w:type="pct"/>
            <w:tcBorders>
              <w:right w:val="single" w:sz="4" w:space="0" w:color="auto"/>
            </w:tcBorders>
          </w:tcPr>
          <w:p w14:paraId="68D1FDF8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5B08F5C6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Simulate communication with the tug. Ensure agreement on the procedure to follow.</w:t>
            </w:r>
          </w:p>
        </w:tc>
        <w:tc>
          <w:tcPr>
            <w:tcW w:w="540" w:type="pct"/>
          </w:tcPr>
          <w:p w14:paraId="01C98F3D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2C88D6A0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345CA129" w14:textId="77777777">
        <w:tc>
          <w:tcPr>
            <w:tcW w:w="269" w:type="pct"/>
            <w:tcBorders>
              <w:right w:val="single" w:sz="4" w:space="0" w:color="auto"/>
            </w:tcBorders>
          </w:tcPr>
          <w:p w14:paraId="1575435E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4EA62186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 xml:space="preserve">The Master confirms </w:t>
            </w:r>
            <w:r w:rsidR="002C57C6" w:rsidRPr="00FB22F8">
              <w:rPr>
                <w:rFonts w:ascii="Arial" w:hAnsi="Arial" w:cs="Arial"/>
                <w:szCs w:val="18"/>
              </w:rPr>
              <w:t xml:space="preserve">with the Company </w:t>
            </w:r>
            <w:r w:rsidRPr="00FB22F8">
              <w:rPr>
                <w:rFonts w:ascii="Arial" w:hAnsi="Arial" w:cs="Arial"/>
                <w:szCs w:val="18"/>
              </w:rPr>
              <w:t>if the towing contract is on specific terms, or on Lloyds Open Form.</w:t>
            </w:r>
          </w:p>
        </w:tc>
        <w:tc>
          <w:tcPr>
            <w:tcW w:w="540" w:type="pct"/>
          </w:tcPr>
          <w:p w14:paraId="5660EA3E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5F07412F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6C070E9F" w14:textId="77777777">
        <w:tc>
          <w:tcPr>
            <w:tcW w:w="269" w:type="pct"/>
            <w:tcBorders>
              <w:right w:val="single" w:sz="4" w:space="0" w:color="auto"/>
            </w:tcBorders>
          </w:tcPr>
          <w:p w14:paraId="609F69C0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5EA8CC01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Prepare the Deck Party to deploy the towing line.</w:t>
            </w:r>
          </w:p>
        </w:tc>
        <w:tc>
          <w:tcPr>
            <w:tcW w:w="540" w:type="pct"/>
          </w:tcPr>
          <w:p w14:paraId="0CA739BA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065E559D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70124DC7" w14:textId="77777777">
        <w:tc>
          <w:tcPr>
            <w:tcW w:w="269" w:type="pct"/>
            <w:tcBorders>
              <w:right w:val="single" w:sz="4" w:space="0" w:color="auto"/>
            </w:tcBorders>
          </w:tcPr>
          <w:p w14:paraId="65C8D881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6526B8AF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Review safe use of the ship’s line throwing apparatus.</w:t>
            </w:r>
          </w:p>
        </w:tc>
        <w:tc>
          <w:tcPr>
            <w:tcW w:w="540" w:type="pct"/>
          </w:tcPr>
          <w:p w14:paraId="1987FA07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108F99F7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3B713534" w14:textId="77777777">
        <w:tc>
          <w:tcPr>
            <w:tcW w:w="269" w:type="pct"/>
            <w:tcBorders>
              <w:right w:val="single" w:sz="4" w:space="0" w:color="auto"/>
            </w:tcBorders>
          </w:tcPr>
          <w:p w14:paraId="093EBC37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7.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46C73344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Forward emergency towing arrangement, when ordered to deploy:</w:t>
            </w:r>
          </w:p>
          <w:p w14:paraId="630694C3" w14:textId="77777777" w:rsidR="002C57C6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a.</w:t>
            </w:r>
            <w:r w:rsidRPr="00FB22F8">
              <w:rPr>
                <w:rFonts w:ascii="Arial" w:hAnsi="Arial" w:cs="Arial"/>
                <w:szCs w:val="18"/>
              </w:rPr>
              <w:tab/>
              <w:t>Position chain in chain stopper.</w:t>
            </w:r>
          </w:p>
          <w:p w14:paraId="0E85ED9C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b.</w:t>
            </w:r>
            <w:r w:rsidRPr="00FB22F8">
              <w:rPr>
                <w:rFonts w:ascii="Arial" w:hAnsi="Arial" w:cs="Arial"/>
                <w:szCs w:val="18"/>
              </w:rPr>
              <w:tab/>
              <w:t>Connect towing wire to emergency chain.</w:t>
            </w:r>
          </w:p>
          <w:p w14:paraId="42F93B4F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c.</w:t>
            </w:r>
            <w:r w:rsidRPr="00FB22F8">
              <w:rPr>
                <w:rFonts w:ascii="Arial" w:hAnsi="Arial" w:cs="Arial"/>
                <w:szCs w:val="18"/>
              </w:rPr>
              <w:tab/>
              <w:t>Ensure that the Deck Party stands well clear while the tug line takes the weight on the emergency chain.</w:t>
            </w:r>
          </w:p>
          <w:p w14:paraId="6E652408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d.</w:t>
            </w:r>
            <w:r w:rsidRPr="00FB22F8">
              <w:rPr>
                <w:rFonts w:ascii="Arial" w:hAnsi="Arial" w:cs="Arial"/>
                <w:szCs w:val="18"/>
              </w:rPr>
              <w:tab/>
              <w:t>Duty Officer confirms to the Master, and to the tug, that the tug wire has taken the weight and that the towing arrangement is holding satisfactorily.</w:t>
            </w:r>
          </w:p>
        </w:tc>
        <w:tc>
          <w:tcPr>
            <w:tcW w:w="540" w:type="pct"/>
          </w:tcPr>
          <w:p w14:paraId="39243B0C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3DFA03D1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7DA552B8" w14:textId="77777777">
        <w:tc>
          <w:tcPr>
            <w:tcW w:w="269" w:type="pct"/>
            <w:tcBorders>
              <w:right w:val="single" w:sz="4" w:space="0" w:color="auto"/>
            </w:tcBorders>
          </w:tcPr>
          <w:p w14:paraId="0112E24A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8.</w:t>
            </w:r>
          </w:p>
        </w:tc>
        <w:tc>
          <w:tcPr>
            <w:tcW w:w="3691" w:type="pct"/>
            <w:tcBorders>
              <w:left w:val="single" w:sz="4" w:space="0" w:color="auto"/>
              <w:bottom w:val="single" w:sz="4" w:space="0" w:color="auto"/>
            </w:tcBorders>
          </w:tcPr>
          <w:p w14:paraId="4C7FCE8E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Aft emergency towing arrangement, when ordered to deploy:</w:t>
            </w:r>
          </w:p>
          <w:p w14:paraId="5E23F4BA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e.</w:t>
            </w:r>
            <w:r w:rsidRPr="00FB22F8">
              <w:rPr>
                <w:rFonts w:ascii="Arial" w:hAnsi="Arial" w:cs="Arial"/>
                <w:szCs w:val="18"/>
              </w:rPr>
              <w:tab/>
              <w:t>Ensure eye of messenger is passed through center fairlead before shackling up to tow wire.</w:t>
            </w:r>
          </w:p>
          <w:p w14:paraId="24707264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f.</w:t>
            </w:r>
            <w:r w:rsidRPr="00FB22F8">
              <w:rPr>
                <w:rFonts w:ascii="Arial" w:hAnsi="Arial" w:cs="Arial"/>
                <w:szCs w:val="18"/>
              </w:rPr>
              <w:tab/>
              <w:t>Ensure messenger connected to tow wire.</w:t>
            </w:r>
          </w:p>
          <w:p w14:paraId="08E1329C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g.</w:t>
            </w:r>
            <w:r w:rsidRPr="00FB22F8">
              <w:rPr>
                <w:rFonts w:ascii="Arial" w:hAnsi="Arial" w:cs="Arial"/>
                <w:szCs w:val="18"/>
              </w:rPr>
              <w:tab/>
              <w:t>Open the emergency release handles on the box and release the messenger line.</w:t>
            </w:r>
          </w:p>
          <w:p w14:paraId="425F3AB3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h.</w:t>
            </w:r>
            <w:r w:rsidRPr="00FB22F8">
              <w:rPr>
                <w:rFonts w:ascii="Arial" w:hAnsi="Arial" w:cs="Arial"/>
                <w:szCs w:val="18"/>
              </w:rPr>
              <w:tab/>
              <w:t>Confirm that the tug has received the messenger line and is ready to accept the emergency tow wire.</w:t>
            </w:r>
          </w:p>
          <w:p w14:paraId="5A5BCF6D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i.</w:t>
            </w:r>
            <w:r w:rsidRPr="00FB22F8">
              <w:rPr>
                <w:rFonts w:ascii="Arial" w:hAnsi="Arial" w:cs="Arial"/>
                <w:szCs w:val="18"/>
              </w:rPr>
              <w:tab/>
              <w:t>Ensure smooth paying out of the emergency towing wire.</w:t>
            </w:r>
          </w:p>
          <w:p w14:paraId="0F315FBE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j.</w:t>
            </w:r>
            <w:r w:rsidRPr="00FB22F8">
              <w:rPr>
                <w:rFonts w:ascii="Arial" w:hAnsi="Arial" w:cs="Arial"/>
                <w:szCs w:val="18"/>
              </w:rPr>
              <w:tab/>
              <w:t>Ensure Deck Party stands well clear while the tug takes the weight on the tow wire.</w:t>
            </w:r>
          </w:p>
          <w:p w14:paraId="7432B903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k.</w:t>
            </w:r>
            <w:r w:rsidRPr="00FB22F8">
              <w:rPr>
                <w:rFonts w:ascii="Arial" w:hAnsi="Arial" w:cs="Arial"/>
                <w:szCs w:val="18"/>
              </w:rPr>
              <w:tab/>
              <w:t>Once the weight is taken by the tug, Duty Officer confirms to the Master and to the tug that the arrangement is holding satisfactorily.</w:t>
            </w:r>
          </w:p>
        </w:tc>
        <w:tc>
          <w:tcPr>
            <w:tcW w:w="540" w:type="pct"/>
          </w:tcPr>
          <w:p w14:paraId="58F0A2BF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22A06091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5DF634AE" w14:textId="77777777">
        <w:trPr>
          <w:trHeight w:val="388"/>
        </w:trPr>
        <w:tc>
          <w:tcPr>
            <w:tcW w:w="269" w:type="pct"/>
            <w:vMerge w:val="restart"/>
            <w:tcBorders>
              <w:right w:val="single" w:sz="4" w:space="0" w:color="auto"/>
            </w:tcBorders>
          </w:tcPr>
          <w:p w14:paraId="4A6357F3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9.</w:t>
            </w:r>
          </w:p>
        </w:tc>
        <w:tc>
          <w:tcPr>
            <w:tcW w:w="3691" w:type="pct"/>
            <w:tcBorders>
              <w:left w:val="single" w:sz="4" w:space="0" w:color="auto"/>
              <w:bottom w:val="nil"/>
            </w:tcBorders>
          </w:tcPr>
          <w:p w14:paraId="6031EFE6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Once a tug is made fast:</w:t>
            </w:r>
          </w:p>
        </w:tc>
        <w:tc>
          <w:tcPr>
            <w:tcW w:w="540" w:type="pct"/>
            <w:vMerge w:val="restart"/>
          </w:tcPr>
          <w:p w14:paraId="76CD3699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  <w:vMerge w:val="restart"/>
          </w:tcPr>
          <w:p w14:paraId="39B488F0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4EC6BBE9" w14:textId="77777777">
        <w:trPr>
          <w:trHeight w:val="386"/>
        </w:trPr>
        <w:tc>
          <w:tcPr>
            <w:tcW w:w="269" w:type="pct"/>
            <w:vMerge/>
            <w:tcBorders>
              <w:right w:val="single" w:sz="4" w:space="0" w:color="auto"/>
            </w:tcBorders>
          </w:tcPr>
          <w:p w14:paraId="494FDAB7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691" w:type="pct"/>
            <w:tcBorders>
              <w:top w:val="nil"/>
              <w:left w:val="single" w:sz="4" w:space="0" w:color="auto"/>
              <w:bottom w:val="nil"/>
            </w:tcBorders>
          </w:tcPr>
          <w:p w14:paraId="178680B7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l.</w:t>
            </w:r>
            <w:r w:rsidRPr="00FB22F8">
              <w:rPr>
                <w:rFonts w:ascii="Arial" w:hAnsi="Arial" w:cs="Arial"/>
                <w:szCs w:val="18"/>
              </w:rPr>
              <w:tab/>
              <w:t>Display appropriate day or night signals.</w:t>
            </w:r>
          </w:p>
        </w:tc>
        <w:tc>
          <w:tcPr>
            <w:tcW w:w="540" w:type="pct"/>
            <w:vMerge/>
          </w:tcPr>
          <w:p w14:paraId="1E04A4FB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  <w:vMerge/>
          </w:tcPr>
          <w:p w14:paraId="3339E303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1A48295B" w14:textId="77777777">
        <w:trPr>
          <w:trHeight w:val="386"/>
        </w:trPr>
        <w:tc>
          <w:tcPr>
            <w:tcW w:w="269" w:type="pct"/>
            <w:vMerge/>
            <w:tcBorders>
              <w:right w:val="single" w:sz="4" w:space="0" w:color="auto"/>
            </w:tcBorders>
          </w:tcPr>
          <w:p w14:paraId="3923C0F9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691" w:type="pct"/>
            <w:tcBorders>
              <w:top w:val="nil"/>
              <w:left w:val="single" w:sz="4" w:space="0" w:color="auto"/>
            </w:tcBorders>
          </w:tcPr>
          <w:p w14:paraId="2BAED671" w14:textId="77777777" w:rsidR="00447BC9" w:rsidRPr="00FB22F8" w:rsidRDefault="00447BC9" w:rsidP="00FB22F8">
            <w:pPr>
              <w:pStyle w:val="TableTextNumbers"/>
              <w:numPr>
                <w:ilvl w:val="0"/>
                <w:numId w:val="0"/>
              </w:numPr>
              <w:tabs>
                <w:tab w:val="left" w:pos="397"/>
              </w:tabs>
              <w:spacing w:before="60" w:after="60"/>
              <w:ind w:left="397" w:hanging="397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m.</w:t>
            </w:r>
            <w:r w:rsidRPr="00FB22F8">
              <w:rPr>
                <w:rFonts w:ascii="Arial" w:hAnsi="Arial" w:cs="Arial"/>
                <w:szCs w:val="18"/>
              </w:rPr>
              <w:tab/>
              <w:t>Ensure that all relevant parties are advised.</w:t>
            </w:r>
          </w:p>
        </w:tc>
        <w:tc>
          <w:tcPr>
            <w:tcW w:w="540" w:type="pct"/>
            <w:vMerge/>
          </w:tcPr>
          <w:p w14:paraId="6D65798D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  <w:vMerge/>
          </w:tcPr>
          <w:p w14:paraId="68F50185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6CFE5DDE" w14:textId="77777777">
        <w:tc>
          <w:tcPr>
            <w:tcW w:w="269" w:type="pct"/>
            <w:tcBorders>
              <w:right w:val="single" w:sz="4" w:space="0" w:color="auto"/>
            </w:tcBorders>
          </w:tcPr>
          <w:p w14:paraId="5D6739F6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lastRenderedPageBreak/>
              <w:t>10.</w:t>
            </w:r>
          </w:p>
        </w:tc>
        <w:tc>
          <w:tcPr>
            <w:tcW w:w="3691" w:type="pct"/>
            <w:tcBorders>
              <w:left w:val="single" w:sz="4" w:space="0" w:color="auto"/>
            </w:tcBorders>
          </w:tcPr>
          <w:p w14:paraId="5C276B28" w14:textId="77777777" w:rsidR="00447BC9" w:rsidRPr="00FB22F8" w:rsidRDefault="00447BC9" w:rsidP="00FB22F8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Debrief ship staff after the drill.</w:t>
            </w:r>
          </w:p>
        </w:tc>
        <w:tc>
          <w:tcPr>
            <w:tcW w:w="540" w:type="pct"/>
          </w:tcPr>
          <w:p w14:paraId="6F46C0BC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" w:type="pct"/>
          </w:tcPr>
          <w:p w14:paraId="085CD906" w14:textId="77777777" w:rsidR="00447BC9" w:rsidRPr="00FB22F8" w:rsidRDefault="00447BC9" w:rsidP="00405E5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BC9" w:rsidRPr="00FB22F8" w14:paraId="26111A12" w14:textId="77777777">
        <w:trPr>
          <w:trHeight w:val="688"/>
        </w:trPr>
        <w:tc>
          <w:tcPr>
            <w:tcW w:w="5000" w:type="pct"/>
            <w:gridSpan w:val="4"/>
          </w:tcPr>
          <w:p w14:paraId="756411AB" w14:textId="77777777" w:rsidR="00447BC9" w:rsidRPr="00FB22F8" w:rsidRDefault="00447BC9" w:rsidP="007E14CB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FB22F8">
              <w:rPr>
                <w:rFonts w:ascii="Arial" w:hAnsi="Arial" w:cs="Arial"/>
                <w:szCs w:val="18"/>
              </w:rPr>
              <w:t>Comments / Description of Scenario / Recommendations for next drill:</w:t>
            </w:r>
          </w:p>
          <w:p w14:paraId="1B06CF6D" w14:textId="77777777" w:rsidR="00447BC9" w:rsidRDefault="00447BC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6F503747" w14:textId="77777777" w:rsidR="00A36AE9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73657ED9" w14:textId="77777777" w:rsidR="00A36AE9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17C045F1" w14:textId="77777777" w:rsidR="00A36AE9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4647F2CF" w14:textId="77777777" w:rsidR="00A36AE9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513ADB3F" w14:textId="77777777" w:rsidR="00A36AE9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59F9D6E1" w14:textId="77777777" w:rsidR="00A36AE9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60B54B28" w14:textId="77777777" w:rsidR="00A36AE9" w:rsidRPr="00FB22F8" w:rsidRDefault="00A36AE9" w:rsidP="00405E52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7921E486" w14:textId="77777777" w:rsidR="00447BC9" w:rsidRDefault="00447BC9" w:rsidP="00447BC9">
      <w:pPr>
        <w:rPr>
          <w:rFonts w:ascii="Arial" w:hAnsi="Arial" w:cs="Arial"/>
          <w:sz w:val="18"/>
          <w:szCs w:val="18"/>
        </w:rPr>
      </w:pPr>
    </w:p>
    <w:p w14:paraId="2448ED88" w14:textId="77777777" w:rsidR="00A36AE9" w:rsidRDefault="00A36AE9" w:rsidP="00447BC9">
      <w:pPr>
        <w:rPr>
          <w:rFonts w:ascii="Arial" w:hAnsi="Arial" w:cs="Arial"/>
          <w:sz w:val="18"/>
          <w:szCs w:val="18"/>
        </w:rPr>
      </w:pPr>
    </w:p>
    <w:tbl>
      <w:tblPr>
        <w:tblW w:w="49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2"/>
        <w:gridCol w:w="2034"/>
        <w:gridCol w:w="1736"/>
        <w:gridCol w:w="1652"/>
        <w:gridCol w:w="2156"/>
      </w:tblGrid>
      <w:tr w:rsidR="00A36AE9" w:rsidRPr="00DA0DDF" w14:paraId="210032E0" w14:textId="77777777">
        <w:trPr>
          <w:trHeight w:hRule="exact" w:val="432"/>
        </w:trPr>
        <w:tc>
          <w:tcPr>
            <w:tcW w:w="799" w:type="pct"/>
            <w:vAlign w:val="center"/>
          </w:tcPr>
          <w:p w14:paraId="1CCD2FD5" w14:textId="77777777" w:rsidR="00A36AE9" w:rsidRPr="00DA0DDF" w:rsidRDefault="00A36AE9" w:rsidP="00AB1F0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Drill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Officer: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0C56A" w14:textId="77777777" w:rsidR="00A36AE9" w:rsidRPr="00DA0DDF" w:rsidRDefault="00A36AE9" w:rsidP="00AB1F0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62" w:type="pct"/>
          </w:tcPr>
          <w:p w14:paraId="46922E7A" w14:textId="77777777" w:rsidR="00A36AE9" w:rsidRDefault="00A36AE9" w:rsidP="00AB1F0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DD649" w14:textId="77777777" w:rsidR="00A36AE9" w:rsidRPr="00DA0DDF" w:rsidRDefault="00A36AE9" w:rsidP="00AB1F0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291CD" w14:textId="77777777" w:rsidR="00A36AE9" w:rsidRPr="00DA0DDF" w:rsidRDefault="00A36AE9" w:rsidP="00AB1F0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6AE9" w:rsidRPr="00DA0DDF" w14:paraId="6D687D5D" w14:textId="77777777">
        <w:trPr>
          <w:trHeight w:hRule="exact" w:val="432"/>
        </w:trPr>
        <w:tc>
          <w:tcPr>
            <w:tcW w:w="799" w:type="pct"/>
            <w:vAlign w:val="center"/>
          </w:tcPr>
          <w:p w14:paraId="1FAC8734" w14:textId="77777777" w:rsidR="00A36AE9" w:rsidRPr="00DA0DDF" w:rsidRDefault="00A36AE9" w:rsidP="00AB1F0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BA8D6" w14:textId="77777777" w:rsidR="00A36AE9" w:rsidRPr="00DA0DDF" w:rsidRDefault="00A36AE9" w:rsidP="00AB1F0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62" w:type="pct"/>
          </w:tcPr>
          <w:p w14:paraId="7818F680" w14:textId="77777777" w:rsidR="00A36AE9" w:rsidRDefault="00A36AE9" w:rsidP="00AB1F0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587C1" w14:textId="77777777" w:rsidR="00A36AE9" w:rsidRPr="00DA0DDF" w:rsidRDefault="00A36AE9" w:rsidP="00AB1F0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5EFAB" w14:textId="77777777" w:rsidR="00A36AE9" w:rsidRPr="00DA0DDF" w:rsidRDefault="00A36AE9" w:rsidP="00AB1F0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C9E3791" w14:textId="77777777" w:rsidR="00A36AE9" w:rsidRPr="00FB22F8" w:rsidRDefault="00A36AE9" w:rsidP="00447BC9">
      <w:pPr>
        <w:rPr>
          <w:rFonts w:ascii="Arial" w:hAnsi="Arial" w:cs="Arial"/>
          <w:sz w:val="18"/>
          <w:szCs w:val="18"/>
        </w:rPr>
      </w:pPr>
    </w:p>
    <w:sectPr w:rsidR="00A36AE9" w:rsidRPr="00FB22F8" w:rsidSect="00112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712" w:bottom="1440" w:left="14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EA3A" w14:textId="77777777" w:rsidR="00280594" w:rsidRDefault="00280594" w:rsidP="00520811">
      <w:pPr>
        <w:pStyle w:val="tablebullet"/>
      </w:pPr>
      <w:r>
        <w:separator/>
      </w:r>
    </w:p>
  </w:endnote>
  <w:endnote w:type="continuationSeparator" w:id="0">
    <w:p w14:paraId="037C414D" w14:textId="77777777" w:rsidR="00280594" w:rsidRDefault="00280594" w:rsidP="00520811">
      <w:pPr>
        <w:pStyle w:val="table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1FC45" w14:textId="77777777" w:rsidR="00112EC1" w:rsidRDefault="00112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14648" w:rsidRPr="00804267" w14:paraId="67AE719C" w14:textId="77777777" w:rsidTr="00112EC1">
      <w:trPr>
        <w:trHeight w:hRule="exact" w:val="227"/>
        <w:jc w:val="center"/>
      </w:trPr>
      <w:tc>
        <w:tcPr>
          <w:tcW w:w="1134" w:type="dxa"/>
        </w:tcPr>
        <w:p w14:paraId="3A83B75E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6A1E522F" w14:textId="77777777" w:rsidR="00814648" w:rsidRPr="00804267" w:rsidRDefault="003F0400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SM031</w:t>
          </w:r>
          <w:r w:rsidR="0081464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="00814648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="0081464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</w:tcPr>
        <w:p w14:paraId="2843C864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4B6B6CB5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7336476C" w14:textId="77777777" w:rsidR="00814648" w:rsidRPr="00804267" w:rsidRDefault="00112EC1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045EFB1D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4AD44B32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4D5597D4" w14:textId="77777777" w:rsidR="00814648" w:rsidRPr="00804267" w:rsidRDefault="00112EC1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814648" w:rsidRPr="00804267" w14:paraId="6884B78D" w14:textId="77777777" w:rsidTr="00112EC1">
      <w:trPr>
        <w:trHeight w:hRule="exact" w:val="227"/>
        <w:jc w:val="center"/>
      </w:trPr>
      <w:tc>
        <w:tcPr>
          <w:tcW w:w="1134" w:type="dxa"/>
        </w:tcPr>
        <w:p w14:paraId="2A496675" w14:textId="77777777" w:rsidR="00814648" w:rsidRPr="00804267" w:rsidRDefault="00102B9D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5CEC68D9" w14:textId="77777777" w:rsidR="00814648" w:rsidRPr="00804267" w:rsidRDefault="00102B9D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</w:tcPr>
        <w:p w14:paraId="747F3E92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50905CE7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4D48D91E" w14:textId="77777777" w:rsidR="00814648" w:rsidRPr="00804267" w:rsidRDefault="00112EC1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7EBE2D82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60E4DDB8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471AC1AC" w14:textId="77777777" w:rsidR="00814648" w:rsidRPr="00804267" w:rsidRDefault="00814648" w:rsidP="00C5338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02B9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02B9D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68294C8" w14:textId="77777777" w:rsidR="00814648" w:rsidRDefault="00814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2989" w14:textId="77777777" w:rsidR="00112EC1" w:rsidRDefault="00112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055E7" w14:textId="77777777" w:rsidR="00280594" w:rsidRDefault="00280594" w:rsidP="00520811">
      <w:pPr>
        <w:pStyle w:val="tablebullet"/>
      </w:pPr>
      <w:r>
        <w:separator/>
      </w:r>
    </w:p>
  </w:footnote>
  <w:footnote w:type="continuationSeparator" w:id="0">
    <w:p w14:paraId="25EE1A57" w14:textId="77777777" w:rsidR="00280594" w:rsidRDefault="00280594" w:rsidP="00520811">
      <w:pPr>
        <w:pStyle w:val="table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2C83F" w14:textId="77777777" w:rsidR="00112EC1" w:rsidRDefault="00112EC1">
    <w:pPr>
      <w:pStyle w:val="Header"/>
    </w:pPr>
    <w:r>
      <w:pict w14:anchorId="5D58DD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40A0F" w14:textId="77777777" w:rsidR="00FB22F8" w:rsidRPr="00112EC1" w:rsidRDefault="00112EC1" w:rsidP="00112EC1">
    <w:pPr>
      <w:pStyle w:val="Header"/>
    </w:pPr>
    <w:r>
      <w:pict w14:anchorId="3541CC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A69D" w14:textId="77777777" w:rsidR="00A45B99" w:rsidRDefault="00112EC1">
    <w:pPr>
      <w:pStyle w:val="Header"/>
    </w:pPr>
    <w:r>
      <w:pict w14:anchorId="3859B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5pt;height:39.75pt">
          <v:imagedata r:id="rId1" o:title="TCCSLogo_P"/>
        </v:shape>
      </w:pict>
    </w:r>
    <w:fldSimple w:instr=" FILENAME ">
      <w:r w:rsidR="00CA755E">
        <w:rPr>
          <w:noProof/>
        </w:rPr>
        <w:t>SM031 - Emergency Towing drill</w:t>
      </w:r>
    </w:fldSimple>
  </w:p>
  <w:p w14:paraId="7A5E7D0B" w14:textId="77777777" w:rsidR="00A45B99" w:rsidRDefault="00A45B99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755E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9A47D7"/>
    <w:multiLevelType w:val="hybridMultilevel"/>
    <w:tmpl w:val="8D8CC7F6"/>
    <w:lvl w:ilvl="0" w:tplc="0CC09E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346A"/>
    <w:multiLevelType w:val="singleLevel"/>
    <w:tmpl w:val="D39491CE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4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6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9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811"/>
    <w:rsid w:val="000E0369"/>
    <w:rsid w:val="00102B9D"/>
    <w:rsid w:val="00112EC1"/>
    <w:rsid w:val="001C002C"/>
    <w:rsid w:val="00280594"/>
    <w:rsid w:val="002B1A06"/>
    <w:rsid w:val="002C57C6"/>
    <w:rsid w:val="00350E53"/>
    <w:rsid w:val="0037303D"/>
    <w:rsid w:val="003E5738"/>
    <w:rsid w:val="003F0400"/>
    <w:rsid w:val="00405E52"/>
    <w:rsid w:val="004159A2"/>
    <w:rsid w:val="00447BC9"/>
    <w:rsid w:val="00520811"/>
    <w:rsid w:val="005345BB"/>
    <w:rsid w:val="005A3209"/>
    <w:rsid w:val="005F2C96"/>
    <w:rsid w:val="0060041C"/>
    <w:rsid w:val="006545CF"/>
    <w:rsid w:val="007806C9"/>
    <w:rsid w:val="007A2FEC"/>
    <w:rsid w:val="007E14CB"/>
    <w:rsid w:val="00814648"/>
    <w:rsid w:val="008F1FDC"/>
    <w:rsid w:val="00947F50"/>
    <w:rsid w:val="009A12CE"/>
    <w:rsid w:val="009B1E45"/>
    <w:rsid w:val="009B5730"/>
    <w:rsid w:val="009C713D"/>
    <w:rsid w:val="00A36AE9"/>
    <w:rsid w:val="00A45B99"/>
    <w:rsid w:val="00A749B0"/>
    <w:rsid w:val="00AB1F0D"/>
    <w:rsid w:val="00AF5D88"/>
    <w:rsid w:val="00AF66DB"/>
    <w:rsid w:val="00B837BB"/>
    <w:rsid w:val="00C157F9"/>
    <w:rsid w:val="00C53380"/>
    <w:rsid w:val="00CA4473"/>
    <w:rsid w:val="00CA755E"/>
    <w:rsid w:val="00CD3EDB"/>
    <w:rsid w:val="00D54FAE"/>
    <w:rsid w:val="00D7192F"/>
    <w:rsid w:val="00D8673B"/>
    <w:rsid w:val="00DC3BC2"/>
    <w:rsid w:val="00EA182D"/>
    <w:rsid w:val="00F02E1A"/>
    <w:rsid w:val="00F842D6"/>
    <w:rsid w:val="00F86913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enu v:ext="edit" fillcolor="none"/>
    </o:shapedefaults>
    <o:shapelayout v:ext="edit">
      <o:idmap v:ext="edit" data="1"/>
    </o:shapelayout>
  </w:shapeDefaults>
  <w:decimalSymbol w:val="."/>
  <w:listSeparator w:val=","/>
  <w14:docId w14:val="6D7F7A4A"/>
  <w15:chartTrackingRefBased/>
  <w15:docId w15:val="{387BB2D2-2731-4411-8F7D-E08581A1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EC1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447BC9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447BC9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447BC9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447BC9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112E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112EC1"/>
  </w:style>
  <w:style w:type="paragraph" w:styleId="BodyText">
    <w:name w:val="Body Text"/>
    <w:rsid w:val="00447BC9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447B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447BC9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447BC9"/>
    <w:pPr>
      <w:ind w:left="0"/>
    </w:pPr>
  </w:style>
  <w:style w:type="character" w:customStyle="1" w:styleId="bold">
    <w:name w:val="bold"/>
    <w:basedOn w:val="DefaultParagraphFont"/>
    <w:rsid w:val="00447BC9"/>
    <w:rPr>
      <w:b/>
    </w:rPr>
  </w:style>
  <w:style w:type="paragraph" w:customStyle="1" w:styleId="BulletList">
    <w:name w:val="Bullet List"/>
    <w:basedOn w:val="Normal"/>
    <w:rsid w:val="00447BC9"/>
    <w:pPr>
      <w:numPr>
        <w:numId w:val="11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447BC9"/>
    <w:pPr>
      <w:numPr>
        <w:numId w:val="3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basedOn w:val="DefaultParagraphFont"/>
    <w:rsid w:val="00447BC9"/>
    <w:rPr>
      <w:color w:val="0000FF"/>
      <w:u w:val="single"/>
    </w:rPr>
  </w:style>
  <w:style w:type="character" w:customStyle="1" w:styleId="italic">
    <w:name w:val="italic"/>
    <w:basedOn w:val="DefaultParagraphFont"/>
    <w:rsid w:val="00447BC9"/>
    <w:rPr>
      <w:i/>
    </w:rPr>
  </w:style>
  <w:style w:type="paragraph" w:customStyle="1" w:styleId="NumberedProcedure">
    <w:name w:val="Numbered Procedure"/>
    <w:basedOn w:val="BodyText"/>
    <w:rsid w:val="00447BC9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447BC9"/>
    <w:pPr>
      <w:spacing w:after="240"/>
      <w:ind w:left="1080"/>
    </w:pPr>
  </w:style>
  <w:style w:type="paragraph" w:customStyle="1" w:styleId="tablebullet">
    <w:name w:val="table bullet"/>
    <w:basedOn w:val="Normal"/>
    <w:rsid w:val="00447BC9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447BC9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447BC9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447BC9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447BC9"/>
    <w:rPr>
      <w:i/>
    </w:rPr>
  </w:style>
  <w:style w:type="paragraph" w:customStyle="1" w:styleId="TableTextNumbers">
    <w:name w:val="Table Text Numbers"/>
    <w:basedOn w:val="TableText"/>
    <w:pPr>
      <w:numPr>
        <w:numId w:val="4"/>
      </w:numPr>
    </w:pPr>
  </w:style>
  <w:style w:type="paragraph" w:customStyle="1" w:styleId="nolist">
    <w:name w:val="no_list"/>
    <w:rsid w:val="00447BC9"/>
    <w:pPr>
      <w:numPr>
        <w:numId w:val="12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447BC9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81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2007-08-18T01:58:00Z</cp:lastPrinted>
  <dcterms:created xsi:type="dcterms:W3CDTF">2020-10-20T06:44:00Z</dcterms:created>
  <dcterms:modified xsi:type="dcterms:W3CDTF">2020-10-21T08:27:00Z</dcterms:modified>
</cp:coreProperties>
</file>