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1"/>
        </w:pBdr>
        <w:spacing w:after="60" w:before="0"/>
        <w:jc w:val="center"/>
      </w:pPr>
      <w:r>
        <w:rPr>
          <w:rFonts w:ascii="Arial" w:cs="Arial" w:eastAsia="Arial" w:hAnsi="Arial"/>
          <w:b/>
          <w:bCs/>
          <w:color w:val="1F3864"/>
          <w:sz w:val="40"/>
          <w:szCs w:val="40"/>
        </w:rPr>
        <w:t xml:space="preserve">VULNERABILITY REPORT</w:t>
      </w:r>
    </w:p>
    <w:p>
      <w:pPr>
        <w:spacing w:after="60" w:before="60"/>
        <w:jc w:val="center"/>
      </w:pPr>
      <w:r>
        <w:rPr>
          <w:rFonts w:ascii="Arial" w:cs="Arial" w:eastAsia="Arial" w:hAnsi="Arial"/>
          <w:color w:val="666666"/>
          <w:sz w:val="22"/>
          <w:szCs w:val="22"/>
        </w:rPr>
        <w:t xml:space="preserve">Taxwell VDP | HackerOne</w:t>
      </w:r>
    </w:p>
    <w:p>
      <w:pPr>
        <w:spacing w:after="400" w:before="0"/>
        <w:jc w:val="center"/>
      </w:pPr>
      <w:r>
        <w:rPr>
          <w:rFonts w:ascii="Arial" w:cs="Arial" w:eastAsia="Arial" w:hAnsi="Arial"/>
          <w:i/>
          <w:iCs/>
          <w:color w:val="666666"/>
          <w:sz w:val="22"/>
          <w:szCs w:val="22"/>
        </w:rPr>
        <w:t xml:space="preserve">Report 3 of 3</w:t>
      </w:r>
    </w:p>
    <w:p>
      <w:pPr>
        <w:pStyle w:val="Heading1"/>
      </w:pPr>
      <w:r>
        <w:rPr>
          <w:rFonts w:ascii="Arial" w:cs="Arial" w:eastAsia="Arial" w:hAnsi="Arial"/>
          <w:b/>
          <w:bCs/>
          <w:color w:val="1F3864"/>
          <w:sz w:val="32"/>
          <w:szCs w:val="32"/>
        </w:rPr>
        <w:t xml:space="preserve">Report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Title</w:t>
            </w:r>
          </w:p>
        </w:tc>
        <w:tc>
          <w:tcPr>
            <w:tcW w:type="dxa" w:w="6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Internal Kubernetes Cluster Architecture Disclosed via HTTP Response Headers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https://www.taxact.com</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Secondary Target</w:t>
            </w:r>
          </w:p>
        </w:tc>
        <w:tc>
          <w:tcPr>
            <w:tcW w:type="dxa" w:w="6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https://www.taxact.com/refer-a-friend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Taxwell VDP (HackerOne)</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Low-Medium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CVSS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 (Medium)</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CVSS Vector</w:t>
            </w:r>
          </w:p>
        </w:tc>
        <w:tc>
          <w:tcPr>
            <w:tcW w:type="dxa" w:w="6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CVSS:3.1/AV:N/AC:L/PR:N/UI:N/S:U/C:L/I:N/A:N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CWE-200 - Information Exposure</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Submitted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9, 2026</w:t>
            </w:r>
          </w:p>
        </w:tc>
      </w:tr>
    </w:tbl>
    <w:p>
      <w:pPr>
        <w:spacing w:after="0" w:before="300"/>
      </w:pPr>
    </w:p>
    <w:p>
      <w:pPr>
        <w:pStyle w:val="Heading1"/>
      </w:pPr>
      <w:r>
        <w:rPr>
          <w:rFonts w:ascii="Arial" w:cs="Arial" w:eastAsia="Arial" w:hAnsi="Arial"/>
          <w:b/>
          <w:bCs/>
          <w:color w:val="1F3864"/>
          <w:sz w:val="32"/>
          <w:szCs w:val="32"/>
        </w:rPr>
        <w:t xml:space="preserve">Description</w:t>
      </w:r>
    </w:p>
    <w:p>
      <w:pPr>
        <w:spacing w:after="80" w:before="80"/>
      </w:pPr>
      <w:r>
        <w:rPr>
          <w:rFonts w:ascii="Arial" w:cs="Arial" w:eastAsia="Arial" w:hAnsi="Arial"/>
          <w:sz w:val="22"/>
          <w:szCs w:val="22"/>
        </w:rPr>
        <w:t xml:space="preserve">The production web application at taxact.com leaks internal Kubernetes cluster architecture details through HTTP response headers on multiple endpoints. Two distinct internal service names, namespace identifiers, and internal port numbers are exposed in the x-envoy-decorator-operation header returned with every HTTP response.</w:t>
      </w:r>
    </w:p>
    <w:p>
      <w:pPr>
        <w:spacing w:after="80" w:before="80"/>
      </w:pPr>
    </w:p>
    <w:p>
      <w:pPr>
        <w:spacing w:after="80" w:before="80"/>
      </w:pPr>
      <w:r>
        <w:rPr>
          <w:rFonts w:ascii="Arial" w:cs="Arial" w:eastAsia="Arial" w:hAnsi="Arial"/>
          <w:sz w:val="22"/>
          <w:szCs w:val="22"/>
        </w:rPr>
        <w:t xml:space="preserve">This information is typically only available to internal engineering teams and should never be visible in public-facing HTTP responses. The disclosure reveals the internal service mesh architecture (Envoy/Istio), Kubernetes namespace, service naming conventions, and confirms that preview and staging versions are actively serving production traffic — which may have different security controls than production-hardened services.</w:t>
      </w:r>
    </w:p>
    <w:p>
      <w:pPr>
        <w:pStyle w:val="Heading1"/>
      </w:pPr>
      <w:r>
        <w:rPr>
          <w:rFonts w:ascii="Arial" w:cs="Arial" w:eastAsia="Arial" w:hAnsi="Arial"/>
          <w:b/>
          <w:bCs/>
          <w:color w:val="1F3864"/>
          <w:sz w:val="32"/>
          <w:szCs w:val="32"/>
        </w:rPr>
        <w:t xml:space="preserve">Information Disclosed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Disclosed Detail</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 Endpoint</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Internal Service 1</w:t>
            </w:r>
          </w:p>
        </w:tc>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taxact-website-consumer-web-v2-preview</w:t>
            </w:r>
          </w:p>
        </w:tc>
        <w:tc>
          <w:tcPr>
            <w:tcW w:type="dxa" w:w="30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www.taxact.com (homepage)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Service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taxact-website-consumer-web-preview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www.taxact.com/refer-a-friend</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Kubernetes Namespace</w:t>
            </w:r>
          </w:p>
        </w:tc>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taxact-apps</w:t>
            </w:r>
          </w:p>
        </w:tc>
        <w:tc>
          <w:tcPr>
            <w:tcW w:type="dxa" w:w="30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Both endpoints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Domain Pattern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*.taxact-apps.svc.cluster.local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endpoints</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Internal Port</w:t>
            </w:r>
          </w:p>
        </w:tc>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80 (unencrypted)</w:t>
            </w:r>
          </w:p>
        </w:tc>
        <w:tc>
          <w:tcPr>
            <w:tcW w:type="dxa" w:w="30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Both endpoints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Mesh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Envoy Proxy (Istio confirmed)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x-envoy header presence</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Deployment Type</w:t>
            </w:r>
          </w:p>
        </w:tc>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Preview/staging serving production</w:t>
            </w:r>
          </w:p>
        </w:tc>
        <w:tc>
          <w:tcPr>
            <w:tcW w:type="dxa" w:w="30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v2-preview in service name</w:t>
            </w:r>
          </w:p>
        </w:tc>
      </w:tr>
    </w:tbl>
    <w:p>
      <w:pPr>
        <w:spacing w:after="0" w:before="300"/>
      </w:pPr>
    </w:p>
    <w:p>
      <w:pPr>
        <w:pStyle w:val="Heading1"/>
      </w:pPr>
      <w:r>
        <w:rPr>
          <w:rFonts w:ascii="Arial" w:cs="Arial" w:eastAsia="Arial" w:hAnsi="Arial"/>
          <w:b/>
          <w:bCs/>
          <w:color w:val="1F3864"/>
          <w:sz w:val="32"/>
          <w:szCs w:val="32"/>
        </w:rPr>
        <w:t xml:space="preserve">Steps to Reproduce</w:t>
      </w:r>
    </w:p>
    <w:p>
      <w:pPr>
        <w:pStyle w:val="ListParagraph"/>
        <w:numPr>
          <w:ilvl w:val="0"/>
          <w:numId w:val="2"/>
        </w:numPr>
        <w:spacing w:after="60" w:before="60"/>
      </w:pPr>
      <w:r>
        <w:rPr>
          <w:rFonts w:ascii="Arial" w:cs="Arial" w:eastAsia="Arial" w:hAnsi="Arial"/>
          <w:sz w:val="22"/>
          <w:szCs w:val="22"/>
        </w:rPr>
        <w:t xml:space="preserve">Request taxact.com homepage and inspect response headers:</w:t>
      </w:r>
    </w:p>
    <w:p>
      <w:pPr>
        <w:spacing w:after="60" w:before="60"/>
        <w:ind w:left="720"/>
      </w:pPr>
      <w:r>
        <w:rPr>
          <w:rFonts w:ascii="Courier New" w:cs="Courier New" w:eastAsia="Courier New" w:hAnsi="Courier New"/>
          <w:color w:val="C0392B"/>
          <w:sz w:val="20"/>
          <w:szCs w:val="20"/>
        </w:rPr>
        <w:t xml:space="preserve">curl -skI https://www.taxact.com</w:t>
      </w:r>
    </w:p>
    <w:p>
      <w:pPr>
        <w:spacing w:after="80" w:before="80"/>
      </w:pPr>
      <w:r>
        <w:rPr>
          <w:rFonts w:ascii="Arial" w:cs="Arial" w:eastAsia="Arial" w:hAnsi="Arial"/>
          <w:sz w:val="22"/>
          <w:szCs w:val="22"/>
        </w:rPr>
        <w:t xml:space="preserve">Observe header in response:</w:t>
      </w:r>
    </w:p>
    <w:p>
      <w:pPr>
        <w:spacing w:after="60" w:before="60"/>
        <w:ind w:left="720"/>
      </w:pPr>
      <w:r>
        <w:rPr>
          <w:rFonts w:ascii="Courier New" w:cs="Courier New" w:eastAsia="Courier New" w:hAnsi="Courier New"/>
          <w:color w:val="C0392B"/>
          <w:sz w:val="20"/>
          <w:szCs w:val="20"/>
        </w:rPr>
        <w:t xml:space="preserve">x-envoy-decorator-operation: taxact-website-consumer-web-v2-preview.taxact-apps.svc.cluster.local:80/*</w:t>
      </w:r>
    </w:p>
    <w:p>
      <w:pPr>
        <w:pStyle w:val="ListParagraph"/>
        <w:numPr>
          <w:ilvl w:val="0"/>
          <w:numId w:val="2"/>
        </w:numPr>
        <w:spacing w:after="60" w:before="60"/>
      </w:pPr>
      <w:r>
        <w:rPr>
          <w:rFonts w:ascii="Arial" w:cs="Arial" w:eastAsia="Arial" w:hAnsi="Arial"/>
          <w:sz w:val="22"/>
          <w:szCs w:val="22"/>
        </w:rPr>
        <w:t xml:space="preserve">Request the refer-a-friend endpoint and inspect headers:</w:t>
      </w:r>
    </w:p>
    <w:p>
      <w:pPr>
        <w:spacing w:after="60" w:before="60"/>
        <w:ind w:left="720"/>
      </w:pPr>
      <w:r>
        <w:rPr>
          <w:rFonts w:ascii="Courier New" w:cs="Courier New" w:eastAsia="Courier New" w:hAnsi="Courier New"/>
          <w:color w:val="C0392B"/>
          <w:sz w:val="20"/>
          <w:szCs w:val="20"/>
        </w:rPr>
        <w:t xml:space="preserve">curl -skI "https://www.taxact.com/refer-a-friend?promotable_code=test"</w:t>
      </w:r>
    </w:p>
    <w:p>
      <w:pPr>
        <w:spacing w:after="80" w:before="80"/>
      </w:pPr>
      <w:r>
        <w:rPr>
          <w:rFonts w:ascii="Arial" w:cs="Arial" w:eastAsia="Arial" w:hAnsi="Arial"/>
          <w:sz w:val="22"/>
          <w:szCs w:val="22"/>
        </w:rPr>
        <w:t xml:space="preserve">Observe different internal service name in response:</w:t>
      </w:r>
    </w:p>
    <w:p>
      <w:pPr>
        <w:spacing w:after="60" w:before="60"/>
        <w:ind w:left="720"/>
      </w:pPr>
      <w:r>
        <w:rPr>
          <w:rFonts w:ascii="Courier New" w:cs="Courier New" w:eastAsia="Courier New" w:hAnsi="Courier New"/>
          <w:color w:val="C0392B"/>
          <w:sz w:val="20"/>
          <w:szCs w:val="20"/>
        </w:rPr>
        <w:t xml:space="preserve">x-envoy-decorator-operation: taxact-website-consumer-web-preview.taxact-apps.svc.cluster.local:80/*</w:t>
      </w:r>
    </w:p>
    <w:p>
      <w:pPr>
        <w:pStyle w:val="ListParagraph"/>
        <w:numPr>
          <w:ilvl w:val="0"/>
          <w:numId w:val="2"/>
        </w:numPr>
        <w:spacing w:after="60" w:before="60"/>
      </w:pPr>
      <w:r>
        <w:rPr>
          <w:rFonts w:ascii="Arial" w:cs="Arial" w:eastAsia="Arial" w:hAnsi="Arial"/>
          <w:sz w:val="22"/>
          <w:szCs w:val="22"/>
        </w:rPr>
        <w:t xml:space="preserve">Both requests confirm HTTP 200 status with no authentication required, and the internal Kubernetes service mesh details are present in every response.</w:t>
      </w:r>
    </w:p>
    <w:p>
      <w:pPr>
        <w:pStyle w:val="Heading1"/>
      </w:pPr>
      <w:r>
        <w:rPr>
          <w:rFonts w:ascii="Arial" w:cs="Arial" w:eastAsia="Arial" w:hAnsi="Arial"/>
          <w:b/>
          <w:bCs/>
          <w:color w:val="1F3864"/>
          <w:sz w:val="32"/>
          <w:szCs w:val="32"/>
        </w:rPr>
        <w:t xml:space="preserve">Impact</w:t>
      </w:r>
    </w:p>
    <w:p>
      <w:pPr>
        <w:pStyle w:val="ListParagraph"/>
        <w:numPr>
          <w:ilvl w:val="0"/>
          <w:numId w:val="3"/>
        </w:numPr>
        <w:spacing w:after="60" w:before="60"/>
      </w:pPr>
      <w:r>
        <w:rPr>
          <w:rFonts w:ascii="Arial" w:cs="Arial" w:eastAsia="Arial" w:hAnsi="Arial"/>
          <w:sz w:val="22"/>
          <w:szCs w:val="22"/>
        </w:rPr>
        <w:t xml:space="preserve">Internal Kubernetes cluster namespace exposed (taxact-apps) — aids attackers in mapping infrastructure</w:t>
      </w:r>
    </w:p>
    <w:p>
      <w:pPr>
        <w:pStyle w:val="ListParagraph"/>
        <w:numPr>
          <w:ilvl w:val="0"/>
          <w:numId w:val="3"/>
        </w:numPr>
        <w:spacing w:after="60" w:before="60"/>
      </w:pPr>
      <w:r>
        <w:rPr>
          <w:rFonts w:ascii="Arial" w:cs="Arial" w:eastAsia="Arial" w:hAnsi="Arial"/>
          <w:sz w:val="22"/>
          <w:szCs w:val="22"/>
        </w:rPr>
        <w:t xml:space="preserve">Two different internal service names leaked — reveals service naming conventions used internally</w:t>
      </w:r>
    </w:p>
    <w:p>
      <w:pPr>
        <w:pStyle w:val="ListParagraph"/>
        <w:numPr>
          <w:ilvl w:val="0"/>
          <w:numId w:val="3"/>
        </w:numPr>
        <w:spacing w:after="60" w:before="60"/>
      </w:pPr>
      <w:r>
        <w:rPr>
          <w:rFonts w:ascii="Arial" w:cs="Arial" w:eastAsia="Arial" w:hAnsi="Arial"/>
          <w:sz w:val="22"/>
          <w:szCs w:val="22"/>
        </w:rPr>
        <w:t xml:space="preserve">Envoy/Istio service mesh technology confirmed — narrows attack surface for targeted exploits</w:t>
      </w:r>
    </w:p>
    <w:p>
      <w:pPr>
        <w:pStyle w:val="ListParagraph"/>
        <w:numPr>
          <w:ilvl w:val="0"/>
          <w:numId w:val="3"/>
        </w:numPr>
        <w:spacing w:after="60" w:before="60"/>
      </w:pPr>
      <w:r>
        <w:rPr>
          <w:rFonts w:ascii="Arial" w:cs="Arial" w:eastAsia="Arial" w:hAnsi="Arial"/>
          <w:sz w:val="22"/>
          <w:szCs w:val="22"/>
        </w:rPr>
        <w:t xml:space="preserve">Internal domain pattern revealed (*.taxact-apps.svc.cluster.local) — useful for SSRF and lateral movement</w:t>
      </w:r>
    </w:p>
    <w:p>
      <w:pPr>
        <w:pStyle w:val="ListParagraph"/>
        <w:numPr>
          <w:ilvl w:val="0"/>
          <w:numId w:val="3"/>
        </w:numPr>
        <w:spacing w:after="60" w:before="60"/>
      </w:pPr>
      <w:r>
        <w:rPr>
          <w:rFonts w:ascii="Arial" w:cs="Arial" w:eastAsia="Arial" w:hAnsi="Arial"/>
          <w:sz w:val="22"/>
          <w:szCs w:val="22"/>
        </w:rPr>
        <w:t xml:space="preserve">Internal port 80 confirmed — reveals unencrypted internal communication between services</w:t>
      </w:r>
    </w:p>
    <w:p>
      <w:pPr>
        <w:pStyle w:val="ListParagraph"/>
        <w:numPr>
          <w:ilvl w:val="0"/>
          <w:numId w:val="3"/>
        </w:numPr>
        <w:spacing w:after="60" w:before="60"/>
      </w:pPr>
      <w:r>
        <w:rPr>
          <w:rFonts w:ascii="Arial" w:cs="Arial" w:eastAsia="Arial" w:hAnsi="Arial"/>
          <w:sz w:val="22"/>
          <w:szCs w:val="22"/>
        </w:rPr>
        <w:t xml:space="preserve">Preview/staging services confirmed serving production traffic — these may have weaker security controls</w:t>
      </w:r>
    </w:p>
    <w:p>
      <w:pPr>
        <w:pStyle w:val="ListParagraph"/>
        <w:numPr>
          <w:ilvl w:val="0"/>
          <w:numId w:val="3"/>
        </w:numPr>
        <w:spacing w:after="60" w:before="60"/>
      </w:pPr>
      <w:r>
        <w:rPr>
          <w:rFonts w:ascii="Arial" w:cs="Arial" w:eastAsia="Arial" w:hAnsi="Arial"/>
          <w:sz w:val="22"/>
          <w:szCs w:val="22"/>
        </w:rPr>
        <w:t xml:space="preserve">Cumulative infrastructure reconnaissance advantage for attackers planning targeted attacks</w:t>
      </w:r>
    </w:p>
    <w:p>
      <w:pPr>
        <w:pStyle w:val="Heading1"/>
      </w:pPr>
      <w:r>
        <w:rPr>
          <w:rFonts w:ascii="Arial" w:cs="Arial" w:eastAsia="Arial" w:hAnsi="Arial"/>
          <w:b/>
          <w:bCs/>
          <w:color w:val="1F3864"/>
          <w:sz w:val="32"/>
          <w:szCs w:val="32"/>
        </w:rPr>
        <w:t xml:space="preserve">Hacker Summary</w:t>
      </w:r>
    </w:p>
    <w:p>
      <w:pPr>
        <w:spacing w:after="80" w:before="80"/>
      </w:pPr>
      <w:r>
        <w:rPr>
          <w:rFonts w:ascii="Arial" w:cs="Arial" w:eastAsia="Arial" w:hAnsi="Arial"/>
          <w:sz w:val="22"/>
          <w:szCs w:val="22"/>
        </w:rPr>
        <w:t xml:space="preserve">During HTTP header analysis of taxact.com production endpoints, I observed the x-envoy-decorator-operation header present in all responses. This header, used internally by the Envoy service proxy, contained fully qualified Kubernetes internal service names including the cluster namespace and internal port.</w:t>
      </w:r>
    </w:p>
    <w:p>
      <w:pPr>
        <w:spacing w:after="80" w:before="80"/>
      </w:pPr>
    </w:p>
    <w:p>
      <w:pPr>
        <w:spacing w:after="80" w:before="80"/>
      </w:pPr>
      <w:r>
        <w:rPr>
          <w:rFonts w:ascii="Arial" w:cs="Arial" w:eastAsia="Arial" w:hAnsi="Arial"/>
          <w:sz w:val="22"/>
          <w:szCs w:val="22"/>
        </w:rPr>
        <w:t xml:space="preserve">Most notably, two distinct service names were identified across different endpoints — one from the homepage and one from the refer-a-friend endpoint — revealing the internal service mesh architecture and confirming that preview/staging versions of the web application are actively serving production traffic. This is significant because preview/staging environments typically operate with different security postures than production-hardened deployments.</w:t>
      </w:r>
    </w:p>
    <w:p>
      <w:pPr>
        <w:pStyle w:val="Heading1"/>
      </w:pPr>
      <w:r>
        <w:rPr>
          <w:rFonts w:ascii="Arial" w:cs="Arial" w:eastAsia="Arial" w:hAnsi="Arial"/>
          <w:b/>
          <w:bCs/>
          <w:color w:val="1F3864"/>
          <w:sz w:val="32"/>
          <w:szCs w:val="32"/>
        </w:rPr>
        <w:t xml:space="preserve">Remediation</w:t>
      </w:r>
    </w:p>
    <w:p>
      <w:pPr>
        <w:pStyle w:val="ListParagraph"/>
        <w:numPr>
          <w:ilvl w:val="0"/>
          <w:numId w:val="3"/>
        </w:numPr>
        <w:spacing w:after="60" w:before="60"/>
      </w:pPr>
      <w:r>
        <w:rPr>
          <w:rFonts w:ascii="Arial" w:cs="Arial" w:eastAsia="Arial" w:hAnsi="Arial"/>
          <w:sz w:val="22"/>
          <w:szCs w:val="22"/>
        </w:rPr>
        <w:t xml:space="preserve">Strip the x-envoy-decorator-operation header at the ingress/edge layer before responses reach public users</w:t>
      </w:r>
    </w:p>
    <w:p>
      <w:pPr>
        <w:pStyle w:val="ListParagraph"/>
        <w:numPr>
          <w:ilvl w:val="0"/>
          <w:numId w:val="3"/>
        </w:numPr>
        <w:spacing w:after="60" w:before="60"/>
      </w:pPr>
      <w:r>
        <w:rPr>
          <w:rFonts w:ascii="Arial" w:cs="Arial" w:eastAsia="Arial" w:hAnsi="Arial"/>
          <w:sz w:val="22"/>
          <w:szCs w:val="22"/>
        </w:rPr>
        <w:t xml:space="preserve">Configure Envoy or Istio to suppress internal service names in decorator headers by setting decorator.propagate: false</w:t>
      </w:r>
    </w:p>
    <w:p>
      <w:pPr>
        <w:pStyle w:val="ListParagraph"/>
        <w:numPr>
          <w:ilvl w:val="0"/>
          <w:numId w:val="3"/>
        </w:numPr>
        <w:spacing w:after="60" w:before="60"/>
      </w:pPr>
      <w:r>
        <w:rPr>
          <w:rFonts w:ascii="Arial" w:cs="Arial" w:eastAsia="Arial" w:hAnsi="Arial"/>
          <w:sz w:val="22"/>
          <w:szCs w:val="22"/>
        </w:rPr>
        <w:t xml:space="preserve">Review all response headers across taxact.com properties for similar internal metadata leakage</w:t>
      </w:r>
    </w:p>
    <w:p>
      <w:pPr>
        <w:pStyle w:val="ListParagraph"/>
        <w:numPr>
          <w:ilvl w:val="0"/>
          <w:numId w:val="3"/>
        </w:numPr>
        <w:spacing w:after="60" w:before="60"/>
      </w:pPr>
      <w:r>
        <w:rPr>
          <w:rFonts w:ascii="Arial" w:cs="Arial" w:eastAsia="Arial" w:hAnsi="Arial"/>
          <w:sz w:val="22"/>
          <w:szCs w:val="22"/>
        </w:rPr>
        <w:t xml:space="preserve">Ensure preview and staging services are not serving production traffic without equivalent security controls</w:t>
      </w:r>
    </w:p>
    <w:p>
      <w:pPr>
        <w:pStyle w:val="ListParagraph"/>
        <w:numPr>
          <w:ilvl w:val="0"/>
          <w:numId w:val="3"/>
        </w:numPr>
        <w:spacing w:after="60" w:before="60"/>
      </w:pPr>
      <w:r>
        <w:rPr>
          <w:rFonts w:ascii="Arial" w:cs="Arial" w:eastAsia="Arial" w:hAnsi="Arial"/>
          <w:sz w:val="22"/>
          <w:szCs w:val="22"/>
        </w:rPr>
        <w:t xml:space="preserve">Implement a header sanitization policy at the CDN/WAF layer (Imperva is already in use — configure header stripping rules)</w:t>
      </w:r>
    </w:p>
    <w:p>
      <w:pPr>
        <w:spacing w:after="60" w:before="120"/>
      </w:pPr>
      <w:r>
        <w:rPr>
          <w:rFonts w:ascii="Arial" w:cs="Arial" w:eastAsia="Arial" w:hAnsi="Arial"/>
          <w:b/>
          <w:bCs/>
          <w:sz w:val="22"/>
          <w:szCs w:val="22"/>
        </w:rPr>
        <w:t xml:space="preserve">Envoy configuration to suppress decorator headers:</w:t>
      </w:r>
    </w:p>
    <w:p>
      <w:pPr>
        <w:spacing w:after="60" w:before="60"/>
        <w:ind w:left="720"/>
      </w:pPr>
      <w:r>
        <w:rPr>
          <w:rFonts w:ascii="Courier New" w:cs="Courier New" w:eastAsia="Courier New" w:hAnsi="Courier New"/>
          <w:color w:val="C0392B"/>
          <w:sz w:val="20"/>
          <w:szCs w:val="20"/>
        </w:rPr>
        <w:t xml:space="preserve">decorator:</w:t>
      </w:r>
    </w:p>
    <w:p>
      <w:pPr>
        <w:spacing w:after="60" w:before="60"/>
        <w:ind w:left="720"/>
      </w:pPr>
      <w:r>
        <w:rPr>
          <w:rFonts w:ascii="Courier New" w:cs="Courier New" w:eastAsia="Courier New" w:hAnsi="Courier New"/>
          <w:color w:val="C0392B"/>
          <w:sz w:val="20"/>
          <w:szCs w:val="20"/>
        </w:rPr>
        <w:t xml:space="preserve">  propagate: false</w:t>
      </w:r>
    </w:p>
    <w:p>
      <w:pPr>
        <w:pStyle w:val="Heading1"/>
      </w:pPr>
      <w:r>
        <w:rPr>
          <w:rFonts w:ascii="Arial" w:cs="Arial" w:eastAsia="Arial" w:hAnsi="Arial"/>
          <w:b/>
          <w:bCs/>
          <w:color w:val="1F3864"/>
          <w:sz w:val="32"/>
          <w:szCs w:val="32"/>
        </w:rPr>
        <w:t xml:space="preserve">CVSS 3.1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Attack Vector</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Network</w:t>
            </w:r>
          </w:p>
        </w:tc>
        <w:tc>
          <w:tcPr>
            <w:tcW w:type="dxa" w:w="48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Remotely accessible, no special network position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 Complexity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HTTP request, no conditions required</w:t>
            </w:r>
          </w:p>
        </w:tc>
      </w:tr>
      <w:tr>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Privileges Required</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None</w:t>
            </w:r>
          </w:p>
        </w:tc>
        <w:tc>
          <w:tcPr>
            <w:tcW w:type="dxa" w:w="48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 authentication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Passive observation of response headers</w:t>
            </w:r>
          </w:p>
        </w:tc>
      </w:tr>
      <w:tr>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Scope</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Unchanged</w:t>
            </w:r>
          </w:p>
        </w:tc>
        <w:tc>
          <w:tcPr>
            <w:tcW w:type="dxa" w:w="48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Information disclosure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infrastructure details exposed</w:t>
            </w:r>
          </w:p>
        </w:tc>
      </w:tr>
      <w:tr>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Integrity</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None</w:t>
            </w:r>
          </w:p>
        </w:tc>
        <w:tc>
          <w:tcPr>
            <w:tcW w:type="dxa" w:w="48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Read-only, no data modification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availability impact</w:t>
            </w:r>
          </w:p>
        </w:tc>
      </w:tr>
    </w:tbl>
    <w:p>
      <w:pPr>
        <w:spacing w:after="0" w:before="300"/>
      </w:pPr>
    </w:p>
    <w:p>
      <w:pPr>
        <w:pStyle w:val="Heading1"/>
      </w:pPr>
      <w:r>
        <w:rPr>
          <w:rFonts w:ascii="Arial" w:cs="Arial" w:eastAsia="Arial" w:hAnsi="Arial"/>
          <w:b/>
          <w:bCs/>
          <w:color w:val="1F3864"/>
          <w:sz w:val="32"/>
          <w:szCs w:val="32"/>
        </w:rPr>
        <w:t xml:space="preserve">Additional Notes</w:t>
      </w:r>
    </w:p>
    <w:p>
      <w:pPr>
        <w:spacing w:after="80" w:before="80"/>
      </w:pPr>
      <w:r>
        <w:rPr>
          <w:rFonts w:ascii="Arial" w:cs="Arial" w:eastAsia="Arial" w:hAnsi="Arial"/>
          <w:sz w:val="22"/>
          <w:szCs w:val="22"/>
        </w:rPr>
        <w:t xml:space="preserve">While information disclosure findings may appear low severity in isolation, this finding has elevated significance in context because:</w:t>
      </w:r>
    </w:p>
    <w:p>
      <w:pPr>
        <w:pStyle w:val="ListParagraph"/>
        <w:numPr>
          <w:ilvl w:val="0"/>
          <w:numId w:val="3"/>
        </w:numPr>
        <w:spacing w:after="60" w:before="60"/>
      </w:pPr>
      <w:r>
        <w:rPr>
          <w:rFonts w:ascii="Arial" w:cs="Arial" w:eastAsia="Arial" w:hAnsi="Arial"/>
          <w:sz w:val="22"/>
          <w:szCs w:val="22"/>
        </w:rPr>
        <w:t xml:space="preserve">Taxwell handles sensitive financial and tax data — internal infrastructure details increase the precision of targeted attacks</w:t>
      </w:r>
    </w:p>
    <w:p>
      <w:pPr>
        <w:pStyle w:val="ListParagraph"/>
        <w:numPr>
          <w:ilvl w:val="0"/>
          <w:numId w:val="3"/>
        </w:numPr>
        <w:spacing w:after="60" w:before="60"/>
      </w:pPr>
      <w:r>
        <w:rPr>
          <w:rFonts w:ascii="Arial" w:cs="Arial" w:eastAsia="Arial" w:hAnsi="Arial"/>
          <w:sz w:val="22"/>
          <w:szCs w:val="22"/>
        </w:rPr>
        <w:t xml:space="preserve">The disclosure confirms Envoy/Istio service mesh — known attack surface with documented CVEs</w:t>
      </w:r>
    </w:p>
    <w:p>
      <w:pPr>
        <w:pStyle w:val="ListParagraph"/>
        <w:numPr>
          <w:ilvl w:val="0"/>
          <w:numId w:val="3"/>
        </w:numPr>
        <w:spacing w:after="60" w:before="60"/>
      </w:pPr>
      <w:r>
        <w:rPr>
          <w:rFonts w:ascii="Arial" w:cs="Arial" w:eastAsia="Arial" w:hAnsi="Arial"/>
          <w:sz w:val="22"/>
          <w:szCs w:val="22"/>
        </w:rPr>
        <w:t xml:space="preserve">Preview services in production is a deployment hygiene issue that may indicate other security gaps</w:t>
      </w:r>
    </w:p>
    <w:p>
      <w:pPr>
        <w:pStyle w:val="ListParagraph"/>
        <w:numPr>
          <w:ilvl w:val="0"/>
          <w:numId w:val="3"/>
        </w:numPr>
        <w:spacing w:after="60" w:before="60"/>
      </w:pPr>
      <w:r>
        <w:rPr>
          <w:rFonts w:ascii="Arial" w:cs="Arial" w:eastAsia="Arial" w:hAnsi="Arial"/>
          <w:sz w:val="22"/>
          <w:szCs w:val="22"/>
        </w:rPr>
        <w:t xml:space="preserve">Combined with other findings in this engagement, the internal namespace pattern aids in SSRF payload construction if SSRF vectors are discovered</w:t>
      </w:r>
    </w:p>
    <w:p>
      <w:pPr>
        <w:pBdr>
          <w:top w:val="single" w:color="1F3864" w:sz="4" w:space="1"/>
        </w:pBdr>
        <w:spacing w:after="0" w:before="200"/>
        <w:jc w:val="center"/>
      </w:pPr>
      <w:r>
        <w:rPr>
          <w:rFonts w:ascii="Arial" w:cs="Arial" w:eastAsia="Arial" w:hAnsi="Arial"/>
          <w:i/>
          <w:iCs/>
          <w:color w:val="666666"/>
          <w:sz w:val="18"/>
          <w:szCs w:val="18"/>
        </w:rPr>
        <w:t xml:space="preserve">Reported in good faith under Taxwell VDP responsible disclosure guidelines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2026-05-10T13:57:53.631Z</dcterms:created>
  <dcterms:modified xsi:type="dcterms:W3CDTF">2026-05-10T13:57:53.631Z</dcterms:modified>
</cp:coreProperties>
</file>

<file path=docProps/custom.xml><?xml version="1.0" encoding="utf-8"?>
<Properties xmlns="http://schemas.openxmlformats.org/officeDocument/2006/custom-properties" xmlns:vt="http://schemas.openxmlformats.org/officeDocument/2006/docPropsVTypes"/>
</file>