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97D"/>
          <w:sz w:val="48"/>
        </w:rPr>
        <w:t>Vendor API Event — Field Schema</w:t>
      </w:r>
    </w:p>
    <w:p>
      <w:pPr>
        <w:jc w:val="center"/>
      </w:pPr>
      <w:r>
        <w:rPr>
          <w:color w:val="595959"/>
          <w:sz w:val="24"/>
        </w:rPr>
        <w:t>Version 1  ·  For Product Approval</w:t>
      </w:r>
    </w:p>
    <w:p/>
    <w:p>
      <w:pPr>
        <w:jc w:val="center"/>
      </w:pPr>
      <w:r>
        <w:rPr>
          <w:i/>
          <w:color w:val="444444"/>
          <w:sz w:val="20"/>
        </w:rPr>
        <w:t>Every vendor API call made by identity-api / los-api / payment-api</w:t>
        <w:br/>
        <w:t>is logged as one row in the vendor archive.</w:t>
        <w:br/>
        <w:t>This document lists every field stored, its purpose, and open decisions</w:t>
        <w:br/>
        <w:t>that require product sign-off before dev go-live.</w:t>
      </w:r>
    </w:p>
    <w:p>
      <w:r>
        <w:br w:type="page"/>
      </w:r>
    </w:p>
    <w:p>
      <w:pPr>
        <w:spacing w:before="360" w:after="80"/>
        <w:pBdr>
          <w:bottom w:val="single" w:sz="6" w:space="1" w:color="1F497D"/>
        </w:pBdr>
      </w:pPr>
      <w:r>
        <w:rPr>
          <w:b/>
          <w:color w:val="1F497D"/>
          <w:sz w:val="32"/>
        </w:rPr>
        <w:t>Section 1 — Call Identity</w:t>
      </w:r>
    </w:p>
    <w:p>
      <w:pPr>
        <w:spacing w:before="40" w:after="120"/>
      </w:pPr>
      <w:r>
        <w:rPr>
          <w:i/>
          <w:color w:val="595959"/>
          <w:sz w:val="18"/>
        </w:rPr>
        <w:t>Auto-generated by the system. No product input needed.</w:t>
      </w:r>
    </w:p>
    <w:tbl>
      <w:tblPr>
        <w:tblStyle w:val="TableGrid"/>
        <w:tblW w:type="auto" w:w="0"/>
        <w:tblLook w:firstColumn="1" w:firstRow="1" w:lastColumn="0" w:lastRow="0" w:noHBand="0" w:noVBand="1" w:val="04A0"/>
      </w:tblPr>
      <w:tblGrid>
        <w:gridCol w:w="3249"/>
        <w:gridCol w:w="3249"/>
        <w:gridCol w:w="3249"/>
      </w:tblGrid>
      <w:tr>
        <w:trPr>
          <w:trHeight w:val="425"/>
        </w:trPr>
        <w:tc>
          <w:tcPr>
            <w:tcW w:type="dxa" w:w="2304"/>
            <w:shd w:val="clear" w:color="auto" w:fill="1F497D"/>
            <w:vAlign w:val="center"/>
          </w:tcPr>
          <w:p>
            <w:pPr>
              <w:jc w:val="center"/>
            </w:pPr>
            <w:r>
              <w:rPr>
                <w:b/>
                <w:color w:val="FFFFFF"/>
                <w:sz w:val="18"/>
              </w:rPr>
              <w:t>Field</w:t>
            </w:r>
          </w:p>
        </w:tc>
        <w:tc>
          <w:tcPr>
            <w:tcW w:type="dxa" w:w="2592"/>
            <w:shd w:val="clear" w:color="auto" w:fill="1F497D"/>
            <w:vAlign w:val="center"/>
          </w:tcPr>
          <w:p>
            <w:pPr>
              <w:jc w:val="center"/>
            </w:pPr>
            <w:r>
              <w:rPr>
                <w:b/>
                <w:color w:val="FFFFFF"/>
                <w:sz w:val="18"/>
              </w:rPr>
              <w:t>Example</w:t>
            </w:r>
          </w:p>
        </w:tc>
        <w:tc>
          <w:tcPr>
            <w:tcW w:type="dxa" w:w="5760"/>
            <w:shd w:val="clear" w:color="auto" w:fill="1F497D"/>
            <w:vAlign w:val="center"/>
          </w:tcPr>
          <w:p>
            <w:pPr>
              <w:jc w:val="center"/>
            </w:pPr>
            <w:r>
              <w:rPr>
                <w:b/>
                <w:color w:val="FFFFFF"/>
                <w:sz w:val="18"/>
              </w:rPr>
              <w:t>What it stores</w:t>
            </w:r>
          </w:p>
        </w:tc>
      </w:tr>
      <w:tr>
        <w:tc>
          <w:tcPr>
            <w:tcW w:type="dxa" w:w="2304"/>
            <w:shd w:val="clear" w:color="auto" w:fill="F2F2F2"/>
            <w:vAlign w:val="center"/>
          </w:tcPr>
          <w:p>
            <w:r>
              <w:rPr>
                <w:sz w:val="18"/>
              </w:rPr>
              <w:t>request_id</w:t>
            </w:r>
          </w:p>
        </w:tc>
        <w:tc>
          <w:tcPr>
            <w:tcW w:type="dxa" w:w="2592"/>
            <w:shd w:val="clear" w:color="auto" w:fill="F2F2F2"/>
            <w:vAlign w:val="center"/>
          </w:tcPr>
          <w:p>
            <w:r>
              <w:rPr>
                <w:sz w:val="18"/>
              </w:rPr>
              <w:t>a1b2c3d4-5e6f-…</w:t>
            </w:r>
          </w:p>
        </w:tc>
        <w:tc>
          <w:tcPr>
            <w:tcW w:type="dxa" w:w="5760"/>
            <w:shd w:val="clear" w:color="auto" w:fill="F2F2F2"/>
            <w:vAlign w:val="center"/>
          </w:tcPr>
          <w:p>
            <w:r>
              <w:rPr>
                <w:sz w:val="18"/>
              </w:rPr>
              <w:t>Unique ID for this vendor call. Prevents duplicate entries if the same event is delivered more than once.</w:t>
            </w:r>
          </w:p>
        </w:tc>
      </w:tr>
      <w:tr>
        <w:tc>
          <w:tcPr>
            <w:tcW w:type="dxa" w:w="2304"/>
            <w:shd w:val="clear" w:color="auto" w:fill="FFFFFF"/>
            <w:vAlign w:val="center"/>
          </w:tcPr>
          <w:p>
            <w:r>
              <w:rPr>
                <w:sz w:val="18"/>
              </w:rPr>
              <w:t>correlation_id</w:t>
            </w:r>
          </w:p>
        </w:tc>
        <w:tc>
          <w:tcPr>
            <w:tcW w:type="dxa" w:w="2592"/>
            <w:shd w:val="clear" w:color="auto" w:fill="FFFFFF"/>
            <w:vAlign w:val="center"/>
          </w:tcPr>
          <w:p>
            <w:r>
              <w:rPr>
                <w:sz w:val="18"/>
              </w:rPr>
              <w:t>req-abc-123</w:t>
            </w:r>
          </w:p>
        </w:tc>
        <w:tc>
          <w:tcPr>
            <w:tcW w:type="dxa" w:w="5760"/>
            <w:shd w:val="clear" w:color="auto" w:fill="FFFFFF"/>
            <w:vAlign w:val="center"/>
          </w:tcPr>
          <w:p>
            <w:r>
              <w:rPr>
                <w:sz w:val="18"/>
              </w:rPr>
              <w:t>The user's original request ID. Links all vendor calls that happened within a single API request.</w:t>
            </w:r>
          </w:p>
        </w:tc>
      </w:tr>
      <w:tr>
        <w:tc>
          <w:tcPr>
            <w:tcW w:type="dxa" w:w="2304"/>
            <w:shd w:val="clear" w:color="auto" w:fill="F2F2F2"/>
            <w:vAlign w:val="center"/>
          </w:tcPr>
          <w:p>
            <w:r>
              <w:rPr>
                <w:sz w:val="18"/>
              </w:rPr>
              <w:t>created_at</w:t>
            </w:r>
          </w:p>
        </w:tc>
        <w:tc>
          <w:tcPr>
            <w:tcW w:type="dxa" w:w="2592"/>
            <w:shd w:val="clear" w:color="auto" w:fill="F2F2F2"/>
            <w:vAlign w:val="center"/>
          </w:tcPr>
          <w:p>
            <w:r>
              <w:rPr>
                <w:sz w:val="18"/>
              </w:rPr>
              <w:t>2026-06-01 14:32:00 IST</w:t>
            </w:r>
          </w:p>
        </w:tc>
        <w:tc>
          <w:tcPr>
            <w:tcW w:type="dxa" w:w="5760"/>
            <w:shd w:val="clear" w:color="auto" w:fill="F2F2F2"/>
            <w:vAlign w:val="center"/>
          </w:tcPr>
          <w:p>
            <w:r>
              <w:rPr>
                <w:sz w:val="18"/>
              </w:rPr>
              <w:t>Timestamp when the vendor call was made (Asia/Kolkata).</w:t>
            </w:r>
          </w:p>
        </w:tc>
      </w:tr>
      <w:tr>
        <w:tc>
          <w:tcPr>
            <w:tcW w:type="dxa" w:w="2304"/>
            <w:shd w:val="clear" w:color="auto" w:fill="FFFFFF"/>
            <w:vAlign w:val="center"/>
          </w:tcPr>
          <w:p>
            <w:r>
              <w:rPr>
                <w:sz w:val="18"/>
              </w:rPr>
              <w:t>schema_version</w:t>
            </w:r>
          </w:p>
        </w:tc>
        <w:tc>
          <w:tcPr>
            <w:tcW w:type="dxa" w:w="2592"/>
            <w:shd w:val="clear" w:color="auto" w:fill="FFFFFF"/>
            <w:vAlign w:val="center"/>
          </w:tcPr>
          <w:p>
            <w:r>
              <w:rPr>
                <w:sz w:val="18"/>
              </w:rPr>
              <w:t>1</w:t>
            </w:r>
          </w:p>
        </w:tc>
        <w:tc>
          <w:tcPr>
            <w:tcW w:type="dxa" w:w="5760"/>
            <w:shd w:val="clear" w:color="auto" w:fill="FFFFFF"/>
            <w:vAlign w:val="center"/>
          </w:tcPr>
          <w:p>
            <w:r>
              <w:rPr>
                <w:sz w:val="18"/>
              </w:rPr>
              <w:t>Internal contract versioning. Not user-facing.</w:t>
            </w:r>
          </w:p>
        </w:tc>
      </w:tr>
    </w:tbl>
    <w:p>
      <w:pPr>
        <w:spacing w:after="80"/>
      </w:pPr>
    </w:p>
    <w:p>
      <w:pPr>
        <w:spacing w:before="360" w:after="80"/>
        <w:pBdr>
          <w:bottom w:val="single" w:sz="6" w:space="1" w:color="1F497D"/>
        </w:pBdr>
      </w:pPr>
      <w:r>
        <w:rPr>
          <w:b/>
          <w:color w:val="1F497D"/>
          <w:sz w:val="32"/>
        </w:rPr>
        <w:t>Section 2 — Source</w:t>
      </w:r>
    </w:p>
    <w:p>
      <w:pPr>
        <w:spacing w:before="40" w:after="120"/>
      </w:pPr>
      <w:r>
        <w:rPr>
          <w:i/>
          <w:color w:val="595959"/>
          <w:sz w:val="18"/>
        </w:rPr>
        <w:t>Confirm: are these the correct service names and vendor IDs for Grafana dashboards and alerts?</w:t>
      </w:r>
    </w:p>
    <w:tbl>
      <w:tblPr>
        <w:tblStyle w:val="TableGrid"/>
        <w:tblW w:type="auto" w:w="0"/>
        <w:tblLook w:firstColumn="1" w:firstRow="1" w:lastColumn="0" w:lastRow="0" w:noHBand="0" w:noVBand="1" w:val="04A0"/>
      </w:tblPr>
      <w:tblGrid>
        <w:gridCol w:w="2436"/>
        <w:gridCol w:w="2436"/>
        <w:gridCol w:w="2436"/>
        <w:gridCol w:w="2436"/>
      </w:tblGrid>
      <w:tr>
        <w:trPr>
          <w:trHeight w:val="425"/>
        </w:trPr>
        <w:tc>
          <w:tcPr>
            <w:tcW w:type="dxa" w:w="1872"/>
            <w:shd w:val="clear" w:color="auto" w:fill="1F497D"/>
            <w:vAlign w:val="center"/>
          </w:tcPr>
          <w:p>
            <w:pPr>
              <w:jc w:val="center"/>
            </w:pPr>
            <w:r>
              <w:rPr>
                <w:b/>
                <w:color w:val="FFFFFF"/>
                <w:sz w:val="18"/>
              </w:rPr>
              <w:t>Field</w:t>
            </w:r>
          </w:p>
        </w:tc>
        <w:tc>
          <w:tcPr>
            <w:tcW w:type="dxa" w:w="2160"/>
            <w:shd w:val="clear" w:color="auto" w:fill="1F497D"/>
            <w:vAlign w:val="center"/>
          </w:tcPr>
          <w:p>
            <w:pPr>
              <w:jc w:val="center"/>
            </w:pPr>
            <w:r>
              <w:rPr>
                <w:b/>
                <w:color w:val="FFFFFF"/>
                <w:sz w:val="18"/>
              </w:rPr>
              <w:t>Example</w:t>
            </w:r>
          </w:p>
        </w:tc>
        <w:tc>
          <w:tcPr>
            <w:tcW w:type="dxa" w:w="4032"/>
            <w:shd w:val="clear" w:color="auto" w:fill="1F497D"/>
            <w:vAlign w:val="center"/>
          </w:tcPr>
          <w:p>
            <w:pPr>
              <w:jc w:val="center"/>
            </w:pPr>
            <w:r>
              <w:rPr>
                <w:b/>
                <w:color w:val="FFFFFF"/>
                <w:sz w:val="18"/>
              </w:rPr>
              <w:t>What it stores</w:t>
            </w:r>
          </w:p>
        </w:tc>
        <w:tc>
          <w:tcPr>
            <w:tcW w:type="dxa" w:w="3456"/>
            <w:shd w:val="clear" w:color="auto" w:fill="FFC000"/>
            <w:vAlign w:val="center"/>
          </w:tcPr>
          <w:p>
            <w:pPr>
              <w:jc w:val="center"/>
            </w:pPr>
            <w:r>
              <w:rPr>
                <w:b/>
                <w:color w:val="000000"/>
                <w:sz w:val="18"/>
              </w:rPr>
              <w:t>Confirm with Product</w:t>
            </w:r>
          </w:p>
        </w:tc>
      </w:tr>
      <w:tr>
        <w:tc>
          <w:tcPr>
            <w:tcW w:type="dxa" w:w="1872"/>
            <w:shd w:val="clear" w:color="auto" w:fill="F2F2F2"/>
            <w:vAlign w:val="center"/>
          </w:tcPr>
          <w:p>
            <w:r>
              <w:rPr>
                <w:sz w:val="18"/>
              </w:rPr>
              <w:t>service</w:t>
            </w:r>
          </w:p>
        </w:tc>
        <w:tc>
          <w:tcPr>
            <w:tcW w:type="dxa" w:w="2160"/>
            <w:shd w:val="clear" w:color="auto" w:fill="F2F2F2"/>
            <w:vAlign w:val="center"/>
          </w:tcPr>
          <w:p>
            <w:r>
              <w:rPr>
                <w:sz w:val="18"/>
              </w:rPr>
              <w:t>identity-api</w:t>
            </w:r>
          </w:p>
        </w:tc>
        <w:tc>
          <w:tcPr>
            <w:tcW w:type="dxa" w:w="4032"/>
            <w:shd w:val="clear" w:color="auto" w:fill="F2F2F2"/>
            <w:vAlign w:val="center"/>
          </w:tcPr>
          <w:p>
            <w:r>
              <w:rPr>
                <w:sz w:val="18"/>
              </w:rPr>
              <w:t>Which of our APIs made the call.</w:t>
            </w:r>
          </w:p>
        </w:tc>
        <w:tc>
          <w:tcPr>
            <w:tcW w:type="dxa" w:w="3456"/>
            <w:shd w:val="clear" w:color="auto" w:fill="F2F2F2"/>
            <w:vAlign w:val="center"/>
          </w:tcPr>
          <w:p>
            <w:r>
              <w:rPr>
                <w:b/>
                <w:color w:val="C00000"/>
                <w:sz w:val="18"/>
              </w:rPr>
              <w:t>Values: identity-api, los-api, payment-api — are these correct and complete?</w:t>
            </w:r>
          </w:p>
        </w:tc>
      </w:tr>
      <w:tr>
        <w:tc>
          <w:tcPr>
            <w:tcW w:type="dxa" w:w="1872"/>
            <w:shd w:val="clear" w:color="auto" w:fill="FFFFFF"/>
            <w:vAlign w:val="center"/>
          </w:tcPr>
          <w:p>
            <w:r>
              <w:rPr>
                <w:sz w:val="18"/>
              </w:rPr>
              <w:t>environment</w:t>
            </w:r>
          </w:p>
        </w:tc>
        <w:tc>
          <w:tcPr>
            <w:tcW w:type="dxa" w:w="2160"/>
            <w:shd w:val="clear" w:color="auto" w:fill="FFFFFF"/>
            <w:vAlign w:val="center"/>
          </w:tcPr>
          <w:p>
            <w:r>
              <w:rPr>
                <w:sz w:val="18"/>
              </w:rPr>
              <w:t>staging</w:t>
            </w:r>
          </w:p>
        </w:tc>
        <w:tc>
          <w:tcPr>
            <w:tcW w:type="dxa" w:w="4032"/>
            <w:shd w:val="clear" w:color="auto" w:fill="FFFFFF"/>
            <w:vAlign w:val="center"/>
          </w:tcPr>
          <w:p>
            <w:r>
              <w:rPr>
                <w:sz w:val="18"/>
              </w:rPr>
              <w:t>staging or prod.</w:t>
            </w:r>
          </w:p>
        </w:tc>
        <w:tc>
          <w:tcPr>
            <w:tcW w:type="dxa" w:w="3456"/>
            <w:shd w:val="clear" w:color="auto" w:fill="FFFFFF"/>
            <w:vAlign w:val="center"/>
          </w:tcPr>
          <w:p>
            <w:r>
              <w:rPr>
                <w:sz w:val="18"/>
              </w:rPr>
              <w:t>—</w:t>
            </w:r>
          </w:p>
        </w:tc>
      </w:tr>
      <w:tr>
        <w:tc>
          <w:tcPr>
            <w:tcW w:type="dxa" w:w="1872"/>
            <w:shd w:val="clear" w:color="auto" w:fill="F2F2F2"/>
            <w:vAlign w:val="center"/>
          </w:tcPr>
          <w:p>
            <w:r>
              <w:rPr>
                <w:sz w:val="18"/>
              </w:rPr>
              <w:t>vendor_id</w:t>
            </w:r>
          </w:p>
        </w:tc>
        <w:tc>
          <w:tcPr>
            <w:tcW w:type="dxa" w:w="2160"/>
            <w:shd w:val="clear" w:color="auto" w:fill="F2F2F2"/>
            <w:vAlign w:val="center"/>
          </w:tcPr>
          <w:p>
            <w:r>
              <w:rPr>
                <w:sz w:val="18"/>
              </w:rPr>
              <w:t>karza</w:t>
            </w:r>
          </w:p>
        </w:tc>
        <w:tc>
          <w:tcPr>
            <w:tcW w:type="dxa" w:w="4032"/>
            <w:shd w:val="clear" w:color="auto" w:fill="F2F2F2"/>
            <w:vAlign w:val="center"/>
          </w:tcPr>
          <w:p>
            <w:r>
              <w:rPr>
                <w:sz w:val="18"/>
              </w:rPr>
              <w:t>Which vendor was called.</w:t>
            </w:r>
          </w:p>
        </w:tc>
        <w:tc>
          <w:tcPr>
            <w:tcW w:type="dxa" w:w="3456"/>
            <w:shd w:val="clear" w:color="auto" w:fill="F2F2F2"/>
            <w:vAlign w:val="center"/>
          </w:tcPr>
          <w:p>
            <w:r>
              <w:rPr>
                <w:b/>
                <w:color w:val="C00000"/>
                <w:sz w:val="18"/>
              </w:rPr>
              <w:t>Current values: karza, nsdl, easebuzz, crif-highmark, bank-statement-analyser — is this the complete list?</w:t>
            </w:r>
          </w:p>
        </w:tc>
      </w:tr>
      <w:tr>
        <w:tc>
          <w:tcPr>
            <w:tcW w:type="dxa" w:w="1872"/>
            <w:shd w:val="clear" w:color="auto" w:fill="FFFFFF"/>
            <w:vAlign w:val="center"/>
          </w:tcPr>
          <w:p>
            <w:r>
              <w:rPr>
                <w:sz w:val="18"/>
              </w:rPr>
              <w:t>endpoint</w:t>
            </w:r>
          </w:p>
        </w:tc>
        <w:tc>
          <w:tcPr>
            <w:tcW w:type="dxa" w:w="2160"/>
            <w:shd w:val="clear" w:color="auto" w:fill="FFFFFF"/>
            <w:vAlign w:val="center"/>
          </w:tcPr>
          <w:p>
            <w:r>
              <w:rPr>
                <w:sz w:val="18"/>
              </w:rPr>
              <w:t>/v2/pan/validate</w:t>
            </w:r>
          </w:p>
        </w:tc>
        <w:tc>
          <w:tcPr>
            <w:tcW w:type="dxa" w:w="4032"/>
            <w:shd w:val="clear" w:color="auto" w:fill="FFFFFF"/>
            <w:vAlign w:val="center"/>
          </w:tcPr>
          <w:p>
            <w:r>
              <w:rPr>
                <w:sz w:val="18"/>
              </w:rPr>
              <w:t>The specific API path called on the vendor.</w:t>
            </w:r>
          </w:p>
        </w:tc>
        <w:tc>
          <w:tcPr>
            <w:tcW w:type="dxa" w:w="3456"/>
            <w:shd w:val="clear" w:color="auto" w:fill="FFFFFF"/>
            <w:vAlign w:val="center"/>
          </w:tcPr>
          <w:p>
            <w:r>
              <w:rPr>
                <w:sz w:val="18"/>
              </w:rPr>
              <w:t>—</w:t>
            </w:r>
          </w:p>
        </w:tc>
      </w:tr>
      <w:tr>
        <w:tc>
          <w:tcPr>
            <w:tcW w:type="dxa" w:w="1872"/>
            <w:shd w:val="clear" w:color="auto" w:fill="F2F2F2"/>
            <w:vAlign w:val="center"/>
          </w:tcPr>
          <w:p>
            <w:r>
              <w:rPr>
                <w:sz w:val="18"/>
              </w:rPr>
              <w:t>vendor_ref_id</w:t>
            </w:r>
          </w:p>
        </w:tc>
        <w:tc>
          <w:tcPr>
            <w:tcW w:type="dxa" w:w="2160"/>
            <w:shd w:val="clear" w:color="auto" w:fill="F2F2F2"/>
            <w:vAlign w:val="center"/>
          </w:tcPr>
          <w:p>
            <w:r>
              <w:rPr>
                <w:sz w:val="18"/>
              </w:rPr>
              <w:t>EZB-TXN-99887766</w:t>
            </w:r>
          </w:p>
        </w:tc>
        <w:tc>
          <w:tcPr>
            <w:tcW w:type="dxa" w:w="4032"/>
            <w:shd w:val="clear" w:color="auto" w:fill="F2F2F2"/>
            <w:vAlign w:val="center"/>
          </w:tcPr>
          <w:p>
            <w:r>
              <w:rPr>
                <w:sz w:val="18"/>
              </w:rPr>
              <w:t>Vendor's own transaction ID. Optional — only set when the vendor returns one. Used to reconcile against vendor invoices.</w:t>
            </w:r>
          </w:p>
        </w:tc>
        <w:tc>
          <w:tcPr>
            <w:tcW w:type="dxa" w:w="3456"/>
            <w:shd w:val="clear" w:color="auto" w:fill="F2F2F2"/>
            <w:vAlign w:val="center"/>
          </w:tcPr>
          <w:p>
            <w:r>
              <w:rPr>
                <w:b/>
                <w:color w:val="C00000"/>
                <w:sz w:val="18"/>
              </w:rPr>
              <w:t>Confirm this is needed. Currently kept for all vendors.</w:t>
            </w:r>
          </w:p>
        </w:tc>
      </w:tr>
    </w:tbl>
    <w:p>
      <w:pPr>
        <w:spacing w:after="80"/>
      </w:pPr>
    </w:p>
    <w:p>
      <w:pPr>
        <w:spacing w:before="360" w:after="80"/>
        <w:pBdr>
          <w:bottom w:val="single" w:sz="6" w:space="1" w:color="1F497D"/>
        </w:pBdr>
      </w:pPr>
      <w:r>
        <w:rPr>
          <w:b/>
          <w:color w:val="1F497D"/>
          <w:sz w:val="32"/>
        </w:rPr>
        <w:t>Section 3 — Loan Context</w:t>
      </w:r>
    </w:p>
    <w:p>
      <w:pPr>
        <w:spacing w:before="40" w:after="120"/>
      </w:pPr>
      <w:r>
        <w:rPr>
          <w:i/>
          <w:color w:val="595959"/>
          <w:sz w:val="18"/>
        </w:rPr>
        <w:t>Confirm each field before go-live.</w:t>
      </w:r>
    </w:p>
    <w:tbl>
      <w:tblPr>
        <w:tblStyle w:val="TableGrid"/>
        <w:tblW w:type="auto" w:w="0"/>
        <w:tblLook w:firstColumn="1" w:firstRow="1" w:lastColumn="0" w:lastRow="0" w:noHBand="0" w:noVBand="1" w:val="04A0"/>
      </w:tblPr>
      <w:tblGrid>
        <w:gridCol w:w="2436"/>
        <w:gridCol w:w="2436"/>
        <w:gridCol w:w="2436"/>
        <w:gridCol w:w="2436"/>
      </w:tblGrid>
      <w:tr>
        <w:trPr>
          <w:trHeight w:val="425"/>
        </w:trPr>
        <w:tc>
          <w:tcPr>
            <w:tcW w:type="dxa" w:w="2160"/>
            <w:shd w:val="clear" w:color="auto" w:fill="1F497D"/>
            <w:vAlign w:val="center"/>
          </w:tcPr>
          <w:p>
            <w:pPr>
              <w:jc w:val="center"/>
            </w:pPr>
            <w:r>
              <w:rPr>
                <w:b/>
                <w:color w:val="FFFFFF"/>
                <w:sz w:val="18"/>
              </w:rPr>
              <w:t>Field</w:t>
            </w:r>
          </w:p>
        </w:tc>
        <w:tc>
          <w:tcPr>
            <w:tcW w:type="dxa" w:w="1872"/>
            <w:shd w:val="clear" w:color="auto" w:fill="1F497D"/>
            <w:vAlign w:val="center"/>
          </w:tcPr>
          <w:p>
            <w:pPr>
              <w:jc w:val="center"/>
            </w:pPr>
            <w:r>
              <w:rPr>
                <w:b/>
                <w:color w:val="FFFFFF"/>
                <w:sz w:val="18"/>
              </w:rPr>
              <w:t>Example</w:t>
            </w:r>
          </w:p>
        </w:tc>
        <w:tc>
          <w:tcPr>
            <w:tcW w:type="dxa" w:w="3888"/>
            <w:shd w:val="clear" w:color="auto" w:fill="1F497D"/>
            <w:vAlign w:val="center"/>
          </w:tcPr>
          <w:p>
            <w:pPr>
              <w:jc w:val="center"/>
            </w:pPr>
            <w:r>
              <w:rPr>
                <w:b/>
                <w:color w:val="FFFFFF"/>
                <w:sz w:val="18"/>
              </w:rPr>
              <w:t>What it stores</w:t>
            </w:r>
          </w:p>
        </w:tc>
        <w:tc>
          <w:tcPr>
            <w:tcW w:type="dxa" w:w="3600"/>
            <w:shd w:val="clear" w:color="auto" w:fill="FFC000"/>
            <w:vAlign w:val="center"/>
          </w:tcPr>
          <w:p>
            <w:pPr>
              <w:jc w:val="center"/>
            </w:pPr>
            <w:r>
              <w:rPr>
                <w:b/>
                <w:color w:val="000000"/>
                <w:sz w:val="18"/>
              </w:rPr>
              <w:t>Confirm with Product</w:t>
            </w:r>
          </w:p>
        </w:tc>
      </w:tr>
      <w:tr>
        <w:tc>
          <w:tcPr>
            <w:tcW w:type="dxa" w:w="2160"/>
            <w:shd w:val="clear" w:color="auto" w:fill="F2F2F2"/>
            <w:vAlign w:val="center"/>
          </w:tcPr>
          <w:p>
            <w:r>
              <w:rPr>
                <w:sz w:val="18"/>
              </w:rPr>
              <w:t>loan_lifecycle_stage</w:t>
            </w:r>
          </w:p>
        </w:tc>
        <w:tc>
          <w:tcPr>
            <w:tcW w:type="dxa" w:w="1872"/>
            <w:shd w:val="clear" w:color="auto" w:fill="F2F2F2"/>
            <w:vAlign w:val="center"/>
          </w:tcPr>
          <w:p>
            <w:r>
              <w:rPr>
                <w:sz w:val="18"/>
              </w:rPr>
              <w:t>KYC</w:t>
            </w:r>
          </w:p>
        </w:tc>
        <w:tc>
          <w:tcPr>
            <w:tcW w:type="dxa" w:w="3888"/>
            <w:shd w:val="clear" w:color="auto" w:fill="F2F2F2"/>
            <w:vAlign w:val="center"/>
          </w:tcPr>
          <w:p>
            <w:r>
              <w:rPr>
                <w:sz w:val="18"/>
              </w:rPr>
              <w:t>The stage of the loan journey that triggered this vendor call.</w:t>
            </w:r>
          </w:p>
        </w:tc>
        <w:tc>
          <w:tcPr>
            <w:tcW w:type="dxa" w:w="3600"/>
            <w:shd w:val="clear" w:color="auto" w:fill="F2F2F2"/>
            <w:vAlign w:val="center"/>
          </w:tcPr>
          <w:p>
            <w:r>
              <w:rPr>
                <w:b/>
                <w:color w:val="C00000"/>
                <w:sz w:val="18"/>
              </w:rPr>
              <w:t>Full list (locked): LEAD → SELFIE → KYC → PAN_AADHAAR_SEED → LOCATION_BRE → BUREAU_BRE → BANK_BRE → REPEAT_BRE → UNDERWRITING → DISBURSED → REPAID → OVERDUE → CLOSED → WRITTEN_OFF — does this cover all stages?</w:t>
            </w:r>
          </w:p>
        </w:tc>
      </w:tr>
      <w:tr>
        <w:tc>
          <w:tcPr>
            <w:tcW w:type="dxa" w:w="2160"/>
            <w:shd w:val="clear" w:color="auto" w:fill="FFFFFF"/>
            <w:vAlign w:val="center"/>
          </w:tcPr>
          <w:p>
            <w:r>
              <w:rPr>
                <w:sz w:val="18"/>
              </w:rPr>
              <w:t>loan_application_number</w:t>
            </w:r>
          </w:p>
        </w:tc>
        <w:tc>
          <w:tcPr>
            <w:tcW w:type="dxa" w:w="1872"/>
            <w:shd w:val="clear" w:color="auto" w:fill="FFFFFF"/>
            <w:vAlign w:val="center"/>
          </w:tcPr>
          <w:p>
            <w:r>
              <w:rPr>
                <w:sz w:val="18"/>
              </w:rPr>
              <w:t>LAN-2026-001</w:t>
            </w:r>
          </w:p>
        </w:tc>
        <w:tc>
          <w:tcPr>
            <w:tcW w:type="dxa" w:w="3888"/>
            <w:shd w:val="clear" w:color="auto" w:fill="FFFFFF"/>
            <w:vAlign w:val="center"/>
          </w:tcPr>
          <w:p>
            <w:r>
              <w:rPr>
                <w:sz w:val="18"/>
              </w:rPr>
              <w:t>Human-readable loan reference. Optional — only set when available at the time of the call.</w:t>
            </w:r>
          </w:p>
        </w:tc>
        <w:tc>
          <w:tcPr>
            <w:tcW w:type="dxa" w:w="3600"/>
            <w:shd w:val="clear" w:color="auto" w:fill="FFFFFF"/>
            <w:vAlign w:val="center"/>
          </w:tcPr>
          <w:p>
            <w:r>
              <w:rPr>
                <w:b/>
                <w:color w:val="C00000"/>
                <w:sz w:val="18"/>
              </w:rPr>
              <w:t>Is this available at every stage, or only after loan creation?</w:t>
            </w:r>
          </w:p>
        </w:tc>
      </w:tr>
      <w:tr>
        <w:tc>
          <w:tcPr>
            <w:tcW w:type="dxa" w:w="2160"/>
            <w:shd w:val="clear" w:color="auto" w:fill="F2F2F2"/>
            <w:vAlign w:val="center"/>
          </w:tcPr>
          <w:p>
            <w:r>
              <w:rPr>
                <w:sz w:val="18"/>
              </w:rPr>
              <w:t>user_id</w:t>
            </w:r>
          </w:p>
        </w:tc>
        <w:tc>
          <w:tcPr>
            <w:tcW w:type="dxa" w:w="1872"/>
            <w:shd w:val="clear" w:color="auto" w:fill="F2F2F2"/>
            <w:vAlign w:val="center"/>
          </w:tcPr>
          <w:p>
            <w:r>
              <w:rPr>
                <w:sz w:val="18"/>
              </w:rPr>
              <w:t>USR-9876</w:t>
            </w:r>
          </w:p>
        </w:tc>
        <w:tc>
          <w:tcPr>
            <w:tcW w:type="dxa" w:w="3888"/>
            <w:shd w:val="clear" w:color="auto" w:fill="F2F2F2"/>
            <w:vAlign w:val="center"/>
          </w:tcPr>
          <w:p>
            <w:r>
              <w:rPr>
                <w:sz w:val="18"/>
              </w:rPr>
              <w:t>The borrower's global customer ID.</w:t>
            </w:r>
          </w:p>
        </w:tc>
        <w:tc>
          <w:tcPr>
            <w:tcW w:type="dxa" w:w="3600"/>
            <w:shd w:val="clear" w:color="auto" w:fill="F2F2F2"/>
            <w:vAlign w:val="center"/>
          </w:tcPr>
          <w:p>
            <w:r>
              <w:rPr>
                <w:b/>
                <w:color w:val="C00000"/>
                <w:sz w:val="18"/>
              </w:rPr>
              <w:t>Confirm this is the correct identifier. What format does it take — UUID, integer, or string?</w:t>
            </w:r>
          </w:p>
        </w:tc>
      </w:tr>
      <w:tr>
        <w:tc>
          <w:tcPr>
            <w:tcW w:type="dxa" w:w="2160"/>
            <w:shd w:val="clear" w:color="auto" w:fill="FFFFFF"/>
            <w:vAlign w:val="center"/>
          </w:tcPr>
          <w:p>
            <w:r>
              <w:rPr>
                <w:sz w:val="18"/>
              </w:rPr>
              <w:t>consent_id</w:t>
            </w:r>
          </w:p>
        </w:tc>
        <w:tc>
          <w:tcPr>
            <w:tcW w:type="dxa" w:w="1872"/>
            <w:shd w:val="clear" w:color="auto" w:fill="FFFFFF"/>
            <w:vAlign w:val="center"/>
          </w:tcPr>
          <w:p>
            <w:r>
              <w:rPr>
                <w:sz w:val="18"/>
              </w:rPr>
              <w:t>CONSENT-XYZ-001</w:t>
            </w:r>
          </w:p>
        </w:tc>
        <w:tc>
          <w:tcPr>
            <w:tcW w:type="dxa" w:w="3888"/>
            <w:shd w:val="clear" w:color="auto" w:fill="FFFFFF"/>
            <w:vAlign w:val="center"/>
          </w:tcPr>
          <w:p>
            <w:r>
              <w:rPr>
                <w:sz w:val="18"/>
              </w:rPr>
              <w:t>The consent record ID for this customer. Required for all PII-touching stages (KYC, PAN_AADHAAR_SEED, BUREAU_BRE, BANK_BRE).</w:t>
            </w:r>
          </w:p>
        </w:tc>
        <w:tc>
          <w:tcPr>
            <w:tcW w:type="dxa" w:w="3600"/>
            <w:shd w:val="clear" w:color="auto" w:fill="FFFFFF"/>
            <w:vAlign w:val="center"/>
          </w:tcPr>
          <w:p>
            <w:r>
              <w:rPr>
                <w:b/>
                <w:color w:val="C00000"/>
                <w:sz w:val="18"/>
              </w:rPr>
              <w:t>Confirm this is a FK to the consent_records table. Is the naming correct?</w:t>
            </w:r>
          </w:p>
        </w:tc>
      </w:tr>
    </w:tbl>
    <w:p>
      <w:pPr>
        <w:spacing w:after="80"/>
      </w:pPr>
    </w:p>
    <w:p>
      <w:pPr>
        <w:spacing w:before="360" w:after="80"/>
        <w:pBdr>
          <w:bottom w:val="single" w:sz="6" w:space="1" w:color="1F497D"/>
        </w:pBdr>
      </w:pPr>
      <w:r>
        <w:rPr>
          <w:b/>
          <w:color w:val="1F497D"/>
          <w:sz w:val="32"/>
        </w:rPr>
        <w:t>Section 4 — PII Handling</w:t>
      </w:r>
    </w:p>
    <w:p>
      <w:pPr>
        <w:spacing w:before="40" w:after="120"/>
      </w:pPr>
      <w:r>
        <w:rPr>
          <w:i/>
          <w:color w:val="595959"/>
          <w:sz w:val="18"/>
        </w:rPr>
        <w:t>No raw PAN, mobile number, or Aadhaar is ever stored in the database. The table below shows exactly how each PII field is handled. Confirm this approach is acceptable to compliance and product.</w:t>
      </w:r>
    </w:p>
    <w:tbl>
      <w:tblPr>
        <w:tblStyle w:val="TableGrid"/>
        <w:tblW w:type="auto" w:w="0"/>
        <w:tblLook w:firstColumn="1" w:firstRow="1" w:lastColumn="0" w:lastRow="0" w:noHBand="0" w:noVBand="1" w:val="04A0"/>
      </w:tblPr>
      <w:tblGrid>
        <w:gridCol w:w="2436"/>
        <w:gridCol w:w="2436"/>
        <w:gridCol w:w="2436"/>
        <w:gridCol w:w="2436"/>
      </w:tblGrid>
      <w:tr>
        <w:trPr>
          <w:trHeight w:val="425"/>
        </w:trPr>
        <w:tc>
          <w:tcPr>
            <w:tcW w:type="dxa" w:w="2304"/>
            <w:shd w:val="clear" w:color="auto" w:fill="1F497D"/>
            <w:vAlign w:val="center"/>
          </w:tcPr>
          <w:p>
            <w:pPr>
              <w:jc w:val="center"/>
            </w:pPr>
            <w:r>
              <w:rPr>
                <w:b/>
                <w:color w:val="FFFFFF"/>
                <w:sz w:val="18"/>
              </w:rPr>
              <w:t>Field stored</w:t>
            </w:r>
          </w:p>
        </w:tc>
        <w:tc>
          <w:tcPr>
            <w:tcW w:type="dxa" w:w="2016"/>
            <w:shd w:val="clear" w:color="auto" w:fill="1F497D"/>
            <w:vAlign w:val="center"/>
          </w:tcPr>
          <w:p>
            <w:pPr>
              <w:jc w:val="center"/>
            </w:pPr>
            <w:r>
              <w:rPr>
                <w:b/>
                <w:color w:val="FFFFFF"/>
                <w:sz w:val="18"/>
              </w:rPr>
              <w:t>Original input</w:t>
            </w:r>
          </w:p>
        </w:tc>
        <w:tc>
          <w:tcPr>
            <w:tcW w:type="dxa" w:w="5184"/>
            <w:shd w:val="clear" w:color="auto" w:fill="1F497D"/>
            <w:vAlign w:val="center"/>
          </w:tcPr>
          <w:p>
            <w:pPr>
              <w:jc w:val="center"/>
            </w:pPr>
            <w:r>
              <w:rPr>
                <w:b/>
                <w:color w:val="FFFFFF"/>
                <w:sz w:val="18"/>
              </w:rPr>
              <w:t>What is stored</w:t>
            </w:r>
          </w:p>
        </w:tc>
        <w:tc>
          <w:tcPr>
            <w:tcW w:type="dxa" w:w="2016"/>
            <w:shd w:val="clear" w:color="auto" w:fill="1F497D"/>
            <w:vAlign w:val="center"/>
          </w:tcPr>
          <w:p>
            <w:pPr>
              <w:jc w:val="center"/>
            </w:pPr>
            <w:r>
              <w:rPr>
                <w:b/>
                <w:color w:val="FFFFFF"/>
                <w:sz w:val="18"/>
              </w:rPr>
              <w:t>Reversible?</w:t>
            </w:r>
          </w:p>
        </w:tc>
      </w:tr>
      <w:tr>
        <w:tc>
          <w:tcPr>
            <w:tcW w:type="dxa" w:w="2304"/>
            <w:shd w:val="clear" w:color="auto" w:fill="F2F2F2"/>
            <w:vAlign w:val="center"/>
          </w:tcPr>
          <w:p>
            <w:r>
              <w:rPr>
                <w:sz w:val="18"/>
              </w:rPr>
              <w:t>pan_masked</w:t>
            </w:r>
          </w:p>
        </w:tc>
        <w:tc>
          <w:tcPr>
            <w:tcW w:type="dxa" w:w="2016"/>
            <w:shd w:val="clear" w:color="auto" w:fill="F2F2F2"/>
            <w:vAlign w:val="center"/>
          </w:tcPr>
          <w:p>
            <w:r>
              <w:rPr>
                <w:sz w:val="18"/>
              </w:rPr>
              <w:t>ABCPK1234F</w:t>
            </w:r>
          </w:p>
        </w:tc>
        <w:tc>
          <w:tcPr>
            <w:tcW w:type="dxa" w:w="5184"/>
            <w:shd w:val="clear" w:color="auto" w:fill="F2F2F2"/>
            <w:vAlign w:val="center"/>
          </w:tcPr>
          <w:p>
            <w:r>
              <w:rPr>
                <w:sz w:val="18"/>
              </w:rPr>
              <w:t>First 3 + **** + last 3  →  ABC****34F</w:t>
            </w:r>
          </w:p>
        </w:tc>
        <w:tc>
          <w:tcPr>
            <w:tcW w:type="dxa" w:w="2016"/>
            <w:shd w:val="clear" w:color="auto" w:fill="F2F2F2"/>
            <w:vAlign w:val="center"/>
          </w:tcPr>
          <w:p>
            <w:r>
              <w:rPr>
                <w:sz w:val="18"/>
              </w:rPr>
              <w:t>No</w:t>
            </w:r>
          </w:p>
        </w:tc>
      </w:tr>
      <w:tr>
        <w:tc>
          <w:tcPr>
            <w:tcW w:type="dxa" w:w="2304"/>
            <w:shd w:val="clear" w:color="auto" w:fill="FFFFFF"/>
            <w:vAlign w:val="center"/>
          </w:tcPr>
          <w:p>
            <w:r>
              <w:rPr>
                <w:sz w:val="18"/>
              </w:rPr>
              <w:t>mobile_hash</w:t>
            </w:r>
          </w:p>
        </w:tc>
        <w:tc>
          <w:tcPr>
            <w:tcW w:type="dxa" w:w="2016"/>
            <w:shd w:val="clear" w:color="auto" w:fill="FFFFFF"/>
            <w:vAlign w:val="center"/>
          </w:tcPr>
          <w:p>
            <w:r>
              <w:rPr>
                <w:sz w:val="18"/>
              </w:rPr>
              <w:t>+919876543210</w:t>
            </w:r>
          </w:p>
        </w:tc>
        <w:tc>
          <w:tcPr>
            <w:tcW w:type="dxa" w:w="5184"/>
            <w:shd w:val="clear" w:color="auto" w:fill="FFFFFF"/>
            <w:vAlign w:val="center"/>
          </w:tcPr>
          <w:p>
            <w:r>
              <w:rPr>
                <w:sz w:val="18"/>
              </w:rPr>
              <w:t>HMAC-SHA256 with a secret salt  →  a3f9c2b1… (64 chars). A customer can be looked up by hashing their number at query time.</w:t>
            </w:r>
          </w:p>
        </w:tc>
        <w:tc>
          <w:tcPr>
            <w:tcW w:type="dxa" w:w="2016"/>
            <w:shd w:val="clear" w:color="auto" w:fill="FFFFFF"/>
            <w:vAlign w:val="center"/>
          </w:tcPr>
          <w:p>
            <w:r>
              <w:rPr>
                <w:sz w:val="18"/>
              </w:rPr>
              <w:t>No</w:t>
            </w:r>
          </w:p>
        </w:tc>
      </w:tr>
      <w:tr>
        <w:tc>
          <w:tcPr>
            <w:tcW w:type="dxa" w:w="2304"/>
            <w:shd w:val="clear" w:color="auto" w:fill="F2F2F2"/>
            <w:vAlign w:val="center"/>
          </w:tcPr>
          <w:p>
            <w:r>
              <w:rPr>
                <w:sz w:val="18"/>
              </w:rPr>
              <w:t>mobile_last4</w:t>
            </w:r>
          </w:p>
        </w:tc>
        <w:tc>
          <w:tcPr>
            <w:tcW w:type="dxa" w:w="2016"/>
            <w:shd w:val="clear" w:color="auto" w:fill="F2F2F2"/>
            <w:vAlign w:val="center"/>
          </w:tcPr>
          <w:p>
            <w:r>
              <w:rPr>
                <w:sz w:val="18"/>
              </w:rPr>
              <w:t>+919876543210</w:t>
            </w:r>
          </w:p>
        </w:tc>
        <w:tc>
          <w:tcPr>
            <w:tcW w:type="dxa" w:w="5184"/>
            <w:shd w:val="clear" w:color="auto" w:fill="F2F2F2"/>
            <w:vAlign w:val="center"/>
          </w:tcPr>
          <w:p>
            <w:r>
              <w:rPr>
                <w:sz w:val="18"/>
              </w:rPr>
              <w:t>Last 4 digits stored plain  →  3210</w:t>
            </w:r>
          </w:p>
        </w:tc>
        <w:tc>
          <w:tcPr>
            <w:tcW w:type="dxa" w:w="2016"/>
            <w:shd w:val="clear" w:color="auto" w:fill="F2F2F2"/>
            <w:vAlign w:val="center"/>
          </w:tcPr>
          <w:p>
            <w:r>
              <w:rPr>
                <w:sz w:val="18"/>
              </w:rPr>
              <w:t>N/A</w:t>
            </w:r>
          </w:p>
        </w:tc>
      </w:tr>
      <w:tr>
        <w:tc>
          <w:tcPr>
            <w:tcW w:type="dxa" w:w="2304"/>
            <w:shd w:val="clear" w:color="auto" w:fill="FFFFFF"/>
            <w:vAlign w:val="center"/>
          </w:tcPr>
          <w:p>
            <w:r>
              <w:rPr>
                <w:sz w:val="18"/>
              </w:rPr>
              <w:t>aadhaar_last4_hash</w:t>
            </w:r>
          </w:p>
        </w:tc>
        <w:tc>
          <w:tcPr>
            <w:tcW w:type="dxa" w:w="2016"/>
            <w:shd w:val="clear" w:color="auto" w:fill="FFFFFF"/>
            <w:vAlign w:val="center"/>
          </w:tcPr>
          <w:p>
            <w:r>
              <w:rPr>
                <w:sz w:val="18"/>
              </w:rPr>
              <w:t>3210 (last 4)</w:t>
            </w:r>
          </w:p>
        </w:tc>
        <w:tc>
          <w:tcPr>
            <w:tcW w:type="dxa" w:w="5184"/>
            <w:shd w:val="clear" w:color="auto" w:fill="FFFFFF"/>
            <w:vAlign w:val="center"/>
          </w:tcPr>
          <w:p>
            <w:r>
              <w:rPr>
                <w:sz w:val="18"/>
              </w:rPr>
              <w:t>HMAC-SHA256 with a separate secret salt  →  d8e1f3ca… (64 chars)</w:t>
            </w:r>
          </w:p>
        </w:tc>
        <w:tc>
          <w:tcPr>
            <w:tcW w:type="dxa" w:w="2016"/>
            <w:shd w:val="clear" w:color="auto" w:fill="FFFFFF"/>
            <w:vAlign w:val="center"/>
          </w:tcPr>
          <w:p>
            <w:r>
              <w:rPr>
                <w:sz w:val="18"/>
              </w:rPr>
              <w:t>No</w:t>
            </w:r>
          </w:p>
        </w:tc>
      </w:tr>
      <w:tr>
        <w:tc>
          <w:tcPr>
            <w:tcW w:type="dxa" w:w="2304"/>
            <w:shd w:val="clear" w:color="auto" w:fill="F2F2F2"/>
            <w:vAlign w:val="center"/>
          </w:tcPr>
          <w:p>
            <w:r>
              <w:rPr>
                <w:sz w:val="18"/>
              </w:rPr>
              <w:t>aadhaar_last4_encrypted</w:t>
            </w:r>
          </w:p>
        </w:tc>
        <w:tc>
          <w:tcPr>
            <w:tcW w:type="dxa" w:w="2016"/>
            <w:shd w:val="clear" w:color="auto" w:fill="F2F2F2"/>
            <w:vAlign w:val="center"/>
          </w:tcPr>
          <w:p>
            <w:r>
              <w:rPr>
                <w:sz w:val="18"/>
              </w:rPr>
              <w:t>—</w:t>
            </w:r>
          </w:p>
        </w:tc>
        <w:tc>
          <w:tcPr>
            <w:tcW w:type="dxa" w:w="5184"/>
            <w:shd w:val="clear" w:color="auto" w:fill="F2F2F2"/>
            <w:vAlign w:val="center"/>
          </w:tcPr>
          <w:p>
            <w:r>
              <w:rPr>
                <w:sz w:val="18"/>
              </w:rPr>
              <w:t>Reserved column — empty until D2 (KMS encryption decision) is resolved</w:t>
            </w:r>
          </w:p>
        </w:tc>
        <w:tc>
          <w:tcPr>
            <w:tcW w:type="dxa" w:w="2016"/>
            <w:shd w:val="clear" w:color="auto" w:fill="F2F2F2"/>
            <w:vAlign w:val="center"/>
          </w:tcPr>
          <w:p>
            <w:r>
              <w:rPr>
                <w:sz w:val="18"/>
              </w:rPr>
              <w:t>N/A</w:t>
            </w:r>
          </w:p>
        </w:tc>
      </w:tr>
    </w:tbl>
    <w:p>
      <w:pPr>
        <w:spacing w:after="80"/>
      </w:pPr>
    </w:p>
    <w:p>
      <w:pPr>
        <w:spacing w:before="40" w:after="120"/>
      </w:pPr>
      <w:r>
        <w:rPr>
          <w:i/>
          <w:color w:val="17590E"/>
          <w:sz w:val="18"/>
        </w:rPr>
        <w:t>Raw request and response payloads are stored encrypted in S3 forever for RBI audit. The database holds a redacted copy for 30 days only, after which it is wiped. The S3 copy is never deleted (Object Lock COMPLIANCE + Legal Hold).</w:t>
      </w:r>
    </w:p>
    <w:p>
      <w:pPr>
        <w:spacing w:before="360" w:after="80"/>
        <w:pBdr>
          <w:bottom w:val="single" w:sz="6" w:space="1" w:color="1F497D"/>
        </w:pBdr>
      </w:pPr>
      <w:r>
        <w:rPr>
          <w:b/>
          <w:color w:val="1F497D"/>
          <w:sz w:val="32"/>
        </w:rPr>
        <w:t>Section 5 — Call Outcome</w:t>
      </w:r>
    </w:p>
    <w:p>
      <w:pPr>
        <w:spacing w:before="40" w:after="120"/>
      </w:pPr>
      <w:r>
        <w:rPr>
          <w:i/>
          <w:color w:val="595959"/>
          <w:sz w:val="18"/>
        </w:rPr>
        <w:t>Standard result fields. Confirm the status values cover your alerting and reporting needs.</w:t>
      </w:r>
    </w:p>
    <w:tbl>
      <w:tblPr>
        <w:tblStyle w:val="TableGrid"/>
        <w:tblW w:type="auto" w:w="0"/>
        <w:tblLook w:firstColumn="1" w:firstRow="1" w:lastColumn="0" w:lastRow="0" w:noHBand="0" w:noVBand="1" w:val="04A0"/>
      </w:tblPr>
      <w:tblGrid>
        <w:gridCol w:w="2436"/>
        <w:gridCol w:w="2436"/>
        <w:gridCol w:w="2436"/>
        <w:gridCol w:w="2436"/>
      </w:tblGrid>
      <w:tr>
        <w:trPr>
          <w:trHeight w:val="425"/>
        </w:trPr>
        <w:tc>
          <w:tcPr>
            <w:tcW w:type="dxa" w:w="1872"/>
            <w:shd w:val="clear" w:color="auto" w:fill="1F497D"/>
            <w:vAlign w:val="center"/>
          </w:tcPr>
          <w:p>
            <w:pPr>
              <w:jc w:val="center"/>
            </w:pPr>
            <w:r>
              <w:rPr>
                <w:b/>
                <w:color w:val="FFFFFF"/>
                <w:sz w:val="18"/>
              </w:rPr>
              <w:t>Field</w:t>
            </w:r>
          </w:p>
        </w:tc>
        <w:tc>
          <w:tcPr>
            <w:tcW w:type="dxa" w:w="1872"/>
            <w:shd w:val="clear" w:color="auto" w:fill="1F497D"/>
            <w:vAlign w:val="center"/>
          </w:tcPr>
          <w:p>
            <w:pPr>
              <w:jc w:val="center"/>
            </w:pPr>
            <w:r>
              <w:rPr>
                <w:b/>
                <w:color w:val="FFFFFF"/>
                <w:sz w:val="18"/>
              </w:rPr>
              <w:t>Example</w:t>
            </w:r>
          </w:p>
        </w:tc>
        <w:tc>
          <w:tcPr>
            <w:tcW w:type="dxa" w:w="4320"/>
            <w:shd w:val="clear" w:color="auto" w:fill="1F497D"/>
            <w:vAlign w:val="center"/>
          </w:tcPr>
          <w:p>
            <w:pPr>
              <w:jc w:val="center"/>
            </w:pPr>
            <w:r>
              <w:rPr>
                <w:b/>
                <w:color w:val="FFFFFF"/>
                <w:sz w:val="18"/>
              </w:rPr>
              <w:t>What it stores</w:t>
            </w:r>
          </w:p>
        </w:tc>
        <w:tc>
          <w:tcPr>
            <w:tcW w:type="dxa" w:w="3456"/>
            <w:shd w:val="clear" w:color="auto" w:fill="FFC000"/>
            <w:vAlign w:val="center"/>
          </w:tcPr>
          <w:p>
            <w:pPr>
              <w:jc w:val="center"/>
            </w:pPr>
            <w:r>
              <w:rPr>
                <w:b/>
                <w:color w:val="000000"/>
                <w:sz w:val="18"/>
              </w:rPr>
              <w:t>Confirm with Product</w:t>
            </w:r>
          </w:p>
        </w:tc>
      </w:tr>
      <w:tr>
        <w:tc>
          <w:tcPr>
            <w:tcW w:type="dxa" w:w="1872"/>
            <w:shd w:val="clear" w:color="auto" w:fill="F2F2F2"/>
            <w:vAlign w:val="center"/>
          </w:tcPr>
          <w:p>
            <w:r>
              <w:rPr>
                <w:sz w:val="18"/>
              </w:rPr>
              <w:t>status</w:t>
            </w:r>
          </w:p>
        </w:tc>
        <w:tc>
          <w:tcPr>
            <w:tcW w:type="dxa" w:w="1872"/>
            <w:shd w:val="clear" w:color="auto" w:fill="F2F2F2"/>
            <w:vAlign w:val="center"/>
          </w:tcPr>
          <w:p>
            <w:r>
              <w:rPr>
                <w:sz w:val="18"/>
              </w:rPr>
              <w:t>SUCCESS</w:t>
            </w:r>
          </w:p>
        </w:tc>
        <w:tc>
          <w:tcPr>
            <w:tcW w:type="dxa" w:w="4320"/>
            <w:shd w:val="clear" w:color="auto" w:fill="F2F2F2"/>
            <w:vAlign w:val="center"/>
          </w:tcPr>
          <w:p>
            <w:r>
              <w:rPr>
                <w:sz w:val="18"/>
              </w:rPr>
              <w:t>Overall result of the vendor call.</w:t>
            </w:r>
          </w:p>
        </w:tc>
        <w:tc>
          <w:tcPr>
            <w:tcW w:type="dxa" w:w="3456"/>
            <w:shd w:val="clear" w:color="auto" w:fill="F2F2F2"/>
            <w:vAlign w:val="center"/>
          </w:tcPr>
          <w:p>
            <w:r>
              <w:rPr>
                <w:b/>
                <w:color w:val="C00000"/>
                <w:sz w:val="18"/>
              </w:rPr>
              <w:t>4 values: SUCCESS (2xx), FAILURE (4xx/5xx), TIMEOUT (connection/read timeout), NETWORK_ERROR (DNS, refused). Are these the right categories for your alert rules?</w:t>
            </w:r>
          </w:p>
        </w:tc>
      </w:tr>
      <w:tr>
        <w:tc>
          <w:tcPr>
            <w:tcW w:type="dxa" w:w="1872"/>
            <w:shd w:val="clear" w:color="auto" w:fill="FFFFFF"/>
            <w:vAlign w:val="center"/>
          </w:tcPr>
          <w:p>
            <w:r>
              <w:rPr>
                <w:sz w:val="18"/>
              </w:rPr>
              <w:t>http_status</w:t>
            </w:r>
          </w:p>
        </w:tc>
        <w:tc>
          <w:tcPr>
            <w:tcW w:type="dxa" w:w="1872"/>
            <w:shd w:val="clear" w:color="auto" w:fill="FFFFFF"/>
            <w:vAlign w:val="center"/>
          </w:tcPr>
          <w:p>
            <w:r>
              <w:rPr>
                <w:sz w:val="18"/>
              </w:rPr>
              <w:t>200, 422, 0</w:t>
            </w:r>
          </w:p>
        </w:tc>
        <w:tc>
          <w:tcPr>
            <w:tcW w:type="dxa" w:w="4320"/>
            <w:shd w:val="clear" w:color="auto" w:fill="FFFFFF"/>
            <w:vAlign w:val="center"/>
          </w:tcPr>
          <w:p>
            <w:r>
              <w:rPr>
                <w:sz w:val="18"/>
              </w:rPr>
              <w:t>HTTP status code returned by the vendor. 0 for timeouts and network errors.</w:t>
            </w:r>
          </w:p>
        </w:tc>
        <w:tc>
          <w:tcPr>
            <w:tcW w:type="dxa" w:w="3456"/>
            <w:shd w:val="clear" w:color="auto" w:fill="FFFFFF"/>
            <w:vAlign w:val="center"/>
          </w:tcPr>
          <w:p>
            <w:r>
              <w:rPr>
                <w:sz w:val="18"/>
              </w:rPr>
              <w:t>—</w:t>
            </w:r>
          </w:p>
        </w:tc>
      </w:tr>
      <w:tr>
        <w:tc>
          <w:tcPr>
            <w:tcW w:type="dxa" w:w="1872"/>
            <w:shd w:val="clear" w:color="auto" w:fill="F2F2F2"/>
            <w:vAlign w:val="center"/>
          </w:tcPr>
          <w:p>
            <w:r>
              <w:rPr>
                <w:sz w:val="18"/>
              </w:rPr>
              <w:t>latency_ms</w:t>
            </w:r>
          </w:p>
        </w:tc>
        <w:tc>
          <w:tcPr>
            <w:tcW w:type="dxa" w:w="1872"/>
            <w:shd w:val="clear" w:color="auto" w:fill="F2F2F2"/>
            <w:vAlign w:val="center"/>
          </w:tcPr>
          <w:p>
            <w:r>
              <w:rPr>
                <w:sz w:val="18"/>
              </w:rPr>
              <w:t>143</w:t>
            </w:r>
          </w:p>
        </w:tc>
        <w:tc>
          <w:tcPr>
            <w:tcW w:type="dxa" w:w="4320"/>
            <w:shd w:val="clear" w:color="auto" w:fill="F2F2F2"/>
            <w:vAlign w:val="center"/>
          </w:tcPr>
          <w:p>
            <w:r>
              <w:rPr>
                <w:sz w:val="18"/>
              </w:rPr>
              <w:t>How long the vendor call took, in milliseconds.</w:t>
            </w:r>
          </w:p>
        </w:tc>
        <w:tc>
          <w:tcPr>
            <w:tcW w:type="dxa" w:w="3456"/>
            <w:shd w:val="clear" w:color="auto" w:fill="F2F2F2"/>
            <w:vAlign w:val="center"/>
          </w:tcPr>
          <w:p>
            <w:r>
              <w:rPr>
                <w:sz w:val="18"/>
              </w:rPr>
              <w:t>—</w:t>
            </w:r>
          </w:p>
        </w:tc>
      </w:tr>
      <w:tr>
        <w:tc>
          <w:tcPr>
            <w:tcW w:type="dxa" w:w="1872"/>
            <w:shd w:val="clear" w:color="auto" w:fill="FFFFFF"/>
            <w:vAlign w:val="center"/>
          </w:tcPr>
          <w:p>
            <w:r>
              <w:rPr>
                <w:sz w:val="18"/>
              </w:rPr>
              <w:t>error_code</w:t>
            </w:r>
          </w:p>
        </w:tc>
        <w:tc>
          <w:tcPr>
            <w:tcW w:type="dxa" w:w="1872"/>
            <w:shd w:val="clear" w:color="auto" w:fill="FFFFFF"/>
            <w:vAlign w:val="center"/>
          </w:tcPr>
          <w:p>
            <w:r>
              <w:rPr>
                <w:sz w:val="18"/>
              </w:rPr>
              <w:t>ECONNABORTED</w:t>
            </w:r>
          </w:p>
        </w:tc>
        <w:tc>
          <w:tcPr>
            <w:tcW w:type="dxa" w:w="4320"/>
            <w:shd w:val="clear" w:color="auto" w:fill="FFFFFF"/>
            <w:vAlign w:val="center"/>
          </w:tcPr>
          <w:p>
            <w:r>
              <w:rPr>
                <w:sz w:val="18"/>
              </w:rPr>
              <w:t>Error code when the call fails (e.g. ETIMEDOUT, NOT_FOUND). Empty on success.</w:t>
            </w:r>
          </w:p>
        </w:tc>
        <w:tc>
          <w:tcPr>
            <w:tcW w:type="dxa" w:w="3456"/>
            <w:shd w:val="clear" w:color="auto" w:fill="FFFFFF"/>
            <w:vAlign w:val="center"/>
          </w:tcPr>
          <w:p>
            <w:r>
              <w:rPr>
                <w:sz w:val="18"/>
              </w:rPr>
              <w:t>—</w:t>
            </w:r>
          </w:p>
        </w:tc>
      </w:tr>
      <w:tr>
        <w:tc>
          <w:tcPr>
            <w:tcW w:type="dxa" w:w="1872"/>
            <w:shd w:val="clear" w:color="auto" w:fill="F2F2F2"/>
            <w:vAlign w:val="center"/>
          </w:tcPr>
          <w:p>
            <w:r>
              <w:rPr>
                <w:sz w:val="18"/>
              </w:rPr>
              <w:t>error_message</w:t>
            </w:r>
          </w:p>
        </w:tc>
        <w:tc>
          <w:tcPr>
            <w:tcW w:type="dxa" w:w="1872"/>
            <w:shd w:val="clear" w:color="auto" w:fill="F2F2F2"/>
            <w:vAlign w:val="center"/>
          </w:tcPr>
          <w:p>
            <w:r>
              <w:rPr>
                <w:sz w:val="18"/>
              </w:rPr>
              <w:t>timeout of 30000ms…</w:t>
            </w:r>
          </w:p>
        </w:tc>
        <w:tc>
          <w:tcPr>
            <w:tcW w:type="dxa" w:w="4320"/>
            <w:shd w:val="clear" w:color="auto" w:fill="F2F2F2"/>
            <w:vAlign w:val="center"/>
          </w:tcPr>
          <w:p>
            <w:r>
              <w:rPr>
                <w:sz w:val="18"/>
              </w:rPr>
              <w:t>Error message when the call fails. Must not contain PII — the calling service is responsible for sanitising.</w:t>
            </w:r>
          </w:p>
        </w:tc>
        <w:tc>
          <w:tcPr>
            <w:tcW w:type="dxa" w:w="3456"/>
            <w:shd w:val="clear" w:color="auto" w:fill="F2F2F2"/>
            <w:vAlign w:val="center"/>
          </w:tcPr>
          <w:p>
            <w:r>
              <w:rPr>
                <w:sz w:val="18"/>
              </w:rPr>
              <w:t>—</w:t>
            </w:r>
          </w:p>
        </w:tc>
      </w:tr>
    </w:tbl>
    <w:p>
      <w:pPr>
        <w:spacing w:after="80"/>
      </w:pPr>
    </w:p>
    <w:p>
      <w:pPr>
        <w:spacing w:before="360" w:after="80"/>
        <w:pBdr>
          <w:bottom w:val="single" w:sz="6" w:space="1" w:color="1F497D"/>
        </w:pBdr>
      </w:pPr>
      <w:r>
        <w:rPr>
          <w:b/>
          <w:color w:val="1F497D"/>
          <w:sz w:val="32"/>
        </w:rPr>
        <w:t>Section 6 — Data Retention</w:t>
      </w:r>
    </w:p>
    <w:p>
      <w:pPr>
        <w:spacing w:before="40" w:after="120"/>
      </w:pPr>
      <w:r>
        <w:rPr>
          <w:i/>
          <w:color w:val="595959"/>
          <w:sz w:val="18"/>
        </w:rPr>
        <w:t>For compliance awareness.</w:t>
      </w:r>
    </w:p>
    <w:tbl>
      <w:tblPr>
        <w:tblStyle w:val="TableGrid"/>
        <w:tblW w:type="auto" w:w="0"/>
        <w:tblLook w:firstColumn="1" w:firstRow="1" w:lastColumn="0" w:lastRow="0" w:noHBand="0" w:noVBand="1" w:val="04A0"/>
      </w:tblPr>
      <w:tblGrid>
        <w:gridCol w:w="3249"/>
        <w:gridCol w:w="3249"/>
        <w:gridCol w:w="3249"/>
      </w:tblGrid>
      <w:tr>
        <w:trPr>
          <w:trHeight w:val="425"/>
        </w:trPr>
        <w:tc>
          <w:tcPr>
            <w:tcW w:type="dxa" w:w="4032"/>
            <w:shd w:val="clear" w:color="auto" w:fill="1F497D"/>
            <w:vAlign w:val="center"/>
          </w:tcPr>
          <w:p>
            <w:pPr>
              <w:jc w:val="center"/>
            </w:pPr>
            <w:r>
              <w:rPr>
                <w:b/>
                <w:color w:val="FFFFFF"/>
                <w:sz w:val="18"/>
              </w:rPr>
              <w:t>Data</w:t>
            </w:r>
          </w:p>
        </w:tc>
        <w:tc>
          <w:tcPr>
            <w:tcW w:type="dxa" w:w="3168"/>
            <w:shd w:val="clear" w:color="auto" w:fill="1F497D"/>
            <w:vAlign w:val="center"/>
          </w:tcPr>
          <w:p>
            <w:pPr>
              <w:jc w:val="center"/>
            </w:pPr>
            <w:r>
              <w:rPr>
                <w:b/>
                <w:color w:val="FFFFFF"/>
                <w:sz w:val="18"/>
              </w:rPr>
              <w:t>Retention</w:t>
            </w:r>
          </w:p>
        </w:tc>
        <w:tc>
          <w:tcPr>
            <w:tcW w:type="dxa" w:w="4320"/>
            <w:shd w:val="clear" w:color="auto" w:fill="1F497D"/>
            <w:vAlign w:val="center"/>
          </w:tcPr>
          <w:p>
            <w:pPr>
              <w:jc w:val="center"/>
            </w:pPr>
            <w:r>
              <w:rPr>
                <w:b/>
                <w:color w:val="FFFFFF"/>
                <w:sz w:val="18"/>
              </w:rPr>
              <w:t>Location</w:t>
            </w:r>
          </w:p>
        </w:tc>
      </w:tr>
      <w:tr>
        <w:tc>
          <w:tcPr>
            <w:tcW w:type="dxa" w:w="4032"/>
            <w:shd w:val="clear" w:color="auto" w:fill="F2F2F2"/>
            <w:vAlign w:val="center"/>
          </w:tcPr>
          <w:p>
            <w:r>
              <w:rPr>
                <w:sz w:val="18"/>
              </w:rPr>
              <w:t>All metadata fields (Sections 1–5)</w:t>
            </w:r>
          </w:p>
        </w:tc>
        <w:tc>
          <w:tcPr>
            <w:tcW w:type="dxa" w:w="3168"/>
            <w:shd w:val="clear" w:color="auto" w:fill="F2F2F2"/>
            <w:vAlign w:val="center"/>
          </w:tcPr>
          <w:p>
            <w:r>
              <w:rPr>
                <w:sz w:val="18"/>
              </w:rPr>
              <w:t>90 days, then permanently deleted</w:t>
            </w:r>
          </w:p>
        </w:tc>
        <w:tc>
          <w:tcPr>
            <w:tcW w:type="dxa" w:w="4320"/>
            <w:shd w:val="clear" w:color="auto" w:fill="F2F2F2"/>
            <w:vAlign w:val="center"/>
          </w:tcPr>
          <w:p>
            <w:r>
              <w:rPr>
                <w:sz w:val="18"/>
              </w:rPr>
              <w:t>ClickHouse database</w:t>
            </w:r>
          </w:p>
        </w:tc>
      </w:tr>
      <w:tr>
        <w:tc>
          <w:tcPr>
            <w:tcW w:type="dxa" w:w="4032"/>
            <w:shd w:val="clear" w:color="auto" w:fill="FFFFFF"/>
            <w:vAlign w:val="center"/>
          </w:tcPr>
          <w:p>
            <w:r>
              <w:rPr>
                <w:sz w:val="18"/>
              </w:rPr>
              <w:t>Request / response payload — redacted copy</w:t>
            </w:r>
          </w:p>
        </w:tc>
        <w:tc>
          <w:tcPr>
            <w:tcW w:type="dxa" w:w="3168"/>
            <w:shd w:val="clear" w:color="auto" w:fill="FFFFFF"/>
            <w:vAlign w:val="center"/>
          </w:tcPr>
          <w:p>
            <w:r>
              <w:rPr>
                <w:sz w:val="18"/>
              </w:rPr>
              <w:t>30 days, then wiped from database</w:t>
            </w:r>
          </w:p>
        </w:tc>
        <w:tc>
          <w:tcPr>
            <w:tcW w:type="dxa" w:w="4320"/>
            <w:shd w:val="clear" w:color="auto" w:fill="FFFFFF"/>
            <w:vAlign w:val="center"/>
          </w:tcPr>
          <w:p>
            <w:r>
              <w:rPr>
                <w:sz w:val="18"/>
              </w:rPr>
              <w:t>ClickHouse database</w:t>
            </w:r>
          </w:p>
        </w:tc>
      </w:tr>
      <w:tr>
        <w:tc>
          <w:tcPr>
            <w:tcW w:type="dxa" w:w="4032"/>
            <w:shd w:val="clear" w:color="auto" w:fill="F2F2F2"/>
            <w:vAlign w:val="center"/>
          </w:tcPr>
          <w:p>
            <w:r>
              <w:rPr>
                <w:sz w:val="18"/>
              </w:rPr>
              <w:t>Request / response payload — raw encrypted copy</w:t>
            </w:r>
          </w:p>
        </w:tc>
        <w:tc>
          <w:tcPr>
            <w:tcW w:type="dxa" w:w="3168"/>
            <w:shd w:val="clear" w:color="auto" w:fill="F2F2F2"/>
            <w:vAlign w:val="center"/>
          </w:tcPr>
          <w:p>
            <w:r>
              <w:rPr>
                <w:sz w:val="18"/>
              </w:rPr>
              <w:t>Forever (Object Lock + Legal Hold)</w:t>
            </w:r>
          </w:p>
        </w:tc>
        <w:tc>
          <w:tcPr>
            <w:tcW w:type="dxa" w:w="4320"/>
            <w:shd w:val="clear" w:color="auto" w:fill="F2F2F2"/>
            <w:vAlign w:val="center"/>
          </w:tcPr>
          <w:p>
            <w:r>
              <w:rPr>
                <w:sz w:val="18"/>
              </w:rPr>
              <w:t>S3 — KMS encrypted, legally immutable</w:t>
            </w:r>
          </w:p>
        </w:tc>
      </w:tr>
    </w:tbl>
    <w:p>
      <w:pPr>
        <w:spacing w:after="80"/>
      </w:pPr>
    </w:p>
    <w:p>
      <w:pPr>
        <w:spacing w:before="360" w:after="80"/>
        <w:pBdr>
          <w:bottom w:val="single" w:sz="6" w:space="1" w:color="1F497D"/>
        </w:pBdr>
      </w:pPr>
      <w:r>
        <w:rPr>
          <w:b/>
          <w:color w:val="1F497D"/>
          <w:sz w:val="32"/>
        </w:rPr>
        <w:t>Section 7 — Open Items for Product Sign-off</w:t>
      </w:r>
    </w:p>
    <w:p>
      <w:pPr>
        <w:spacing w:before="40" w:after="120"/>
      </w:pPr>
      <w:r>
        <w:rPr>
          <w:i/>
          <w:color w:val="595959"/>
          <w:sz w:val="18"/>
        </w:rPr>
        <w:t>These must be confirmed before dev go-live.</w:t>
      </w:r>
    </w:p>
    <w:tbl>
      <w:tblPr>
        <w:tblStyle w:val="TableGrid"/>
        <w:tblW w:type="auto" w:w="0"/>
        <w:tblLook w:firstColumn="1" w:firstRow="1" w:lastColumn="0" w:lastRow="0" w:noHBand="0" w:noVBand="1" w:val="04A0"/>
      </w:tblPr>
      <w:tblGrid>
        <w:gridCol w:w="3249"/>
        <w:gridCol w:w="3249"/>
        <w:gridCol w:w="3249"/>
      </w:tblGrid>
      <w:tr>
        <w:trPr>
          <w:trHeight w:val="425"/>
        </w:trPr>
        <w:tc>
          <w:tcPr>
            <w:tcW w:type="dxa" w:w="432"/>
            <w:shd w:val="clear" w:color="auto" w:fill="1F497D"/>
            <w:vAlign w:val="center"/>
          </w:tcPr>
          <w:p>
            <w:pPr>
              <w:jc w:val="center"/>
            </w:pPr>
            <w:r>
              <w:rPr>
                <w:b/>
                <w:color w:val="FFFFFF"/>
                <w:sz w:val="18"/>
              </w:rPr>
              <w:t>#</w:t>
            </w:r>
          </w:p>
        </w:tc>
        <w:tc>
          <w:tcPr>
            <w:tcW w:type="dxa" w:w="9216"/>
            <w:shd w:val="clear" w:color="auto" w:fill="1F497D"/>
            <w:vAlign w:val="center"/>
          </w:tcPr>
          <w:p>
            <w:pPr>
              <w:jc w:val="center"/>
            </w:pPr>
            <w:r>
              <w:rPr>
                <w:b/>
                <w:color w:val="FFFFFF"/>
                <w:sz w:val="18"/>
              </w:rPr>
              <w:t>Question</w:t>
            </w:r>
          </w:p>
        </w:tc>
        <w:tc>
          <w:tcPr>
            <w:tcW w:type="dxa" w:w="1872"/>
            <w:shd w:val="clear" w:color="auto" w:fill="1F497D"/>
            <w:vAlign w:val="center"/>
          </w:tcPr>
          <w:p>
            <w:pPr>
              <w:jc w:val="center"/>
            </w:pPr>
            <w:r>
              <w:rPr>
                <w:b/>
                <w:color w:val="FFFFFF"/>
                <w:sz w:val="18"/>
              </w:rPr>
              <w:t>Owner</w:t>
            </w:r>
          </w:p>
        </w:tc>
      </w:tr>
      <w:tr>
        <w:tc>
          <w:tcPr>
            <w:tcW w:type="dxa" w:w="432"/>
            <w:shd w:val="clear" w:color="auto" w:fill="F2F2F2"/>
            <w:vAlign w:val="center"/>
          </w:tcPr>
          <w:p>
            <w:r>
              <w:rPr>
                <w:sz w:val="18"/>
              </w:rPr>
              <w:t>1</w:t>
            </w:r>
          </w:p>
        </w:tc>
        <w:tc>
          <w:tcPr>
            <w:tcW w:type="dxa" w:w="9216"/>
            <w:shd w:val="clear" w:color="auto" w:fill="F2F2F2"/>
            <w:vAlign w:val="center"/>
          </w:tcPr>
          <w:p>
            <w:r>
              <w:rPr>
                <w:sz w:val="18"/>
              </w:rPr>
              <w:t>Is the loan_lifecycle_stage enum complete? (14 stages listed in Section 3)</w:t>
            </w:r>
          </w:p>
        </w:tc>
        <w:tc>
          <w:tcPr>
            <w:tcW w:type="dxa" w:w="1872"/>
            <w:shd w:val="clear" w:color="auto" w:fill="F2F2F2"/>
            <w:vAlign w:val="center"/>
          </w:tcPr>
          <w:p>
            <w:r>
              <w:rPr>
                <w:sz w:val="18"/>
              </w:rPr>
              <w:t>Product</w:t>
            </w:r>
          </w:p>
        </w:tc>
      </w:tr>
      <w:tr>
        <w:tc>
          <w:tcPr>
            <w:tcW w:type="dxa" w:w="432"/>
            <w:shd w:val="clear" w:color="auto" w:fill="FFFFFF"/>
            <w:vAlign w:val="center"/>
          </w:tcPr>
          <w:p>
            <w:r>
              <w:rPr>
                <w:sz w:val="18"/>
              </w:rPr>
              <w:t>2</w:t>
            </w:r>
          </w:p>
        </w:tc>
        <w:tc>
          <w:tcPr>
            <w:tcW w:type="dxa" w:w="9216"/>
            <w:shd w:val="clear" w:color="auto" w:fill="FFFFFF"/>
            <w:vAlign w:val="center"/>
          </w:tcPr>
          <w:p>
            <w:r>
              <w:rPr>
                <w:sz w:val="18"/>
              </w:rPr>
              <w:t>Is loan_application_number available at all loan stages, or only after loan creation?</w:t>
            </w:r>
          </w:p>
        </w:tc>
        <w:tc>
          <w:tcPr>
            <w:tcW w:type="dxa" w:w="1872"/>
            <w:shd w:val="clear" w:color="auto" w:fill="FFFFFF"/>
            <w:vAlign w:val="center"/>
          </w:tcPr>
          <w:p>
            <w:r>
              <w:rPr>
                <w:sz w:val="18"/>
              </w:rPr>
              <w:t>Product</w:t>
            </w:r>
          </w:p>
        </w:tc>
      </w:tr>
      <w:tr>
        <w:tc>
          <w:tcPr>
            <w:tcW w:type="dxa" w:w="432"/>
            <w:shd w:val="clear" w:color="auto" w:fill="F2F2F2"/>
            <w:vAlign w:val="center"/>
          </w:tcPr>
          <w:p>
            <w:r>
              <w:rPr>
                <w:sz w:val="18"/>
              </w:rPr>
              <w:t>3</w:t>
            </w:r>
          </w:p>
        </w:tc>
        <w:tc>
          <w:tcPr>
            <w:tcW w:type="dxa" w:w="9216"/>
            <w:shd w:val="clear" w:color="auto" w:fill="F2F2F2"/>
            <w:vAlign w:val="center"/>
          </w:tcPr>
          <w:p>
            <w:r>
              <w:rPr>
                <w:sz w:val="18"/>
              </w:rPr>
              <w:t>Confirm the user_id format and which identifier it maps to in your system</w:t>
            </w:r>
          </w:p>
        </w:tc>
        <w:tc>
          <w:tcPr>
            <w:tcW w:type="dxa" w:w="1872"/>
            <w:shd w:val="clear" w:color="auto" w:fill="F2F2F2"/>
            <w:vAlign w:val="center"/>
          </w:tcPr>
          <w:p>
            <w:r>
              <w:rPr>
                <w:sz w:val="18"/>
              </w:rPr>
              <w:t>Product / Engineering</w:t>
            </w:r>
          </w:p>
        </w:tc>
      </w:tr>
      <w:tr>
        <w:tc>
          <w:tcPr>
            <w:tcW w:type="dxa" w:w="432"/>
            <w:shd w:val="clear" w:color="auto" w:fill="FFFFFF"/>
            <w:vAlign w:val="center"/>
          </w:tcPr>
          <w:p>
            <w:r>
              <w:rPr>
                <w:sz w:val="18"/>
              </w:rPr>
              <w:t>4</w:t>
            </w:r>
          </w:p>
        </w:tc>
        <w:tc>
          <w:tcPr>
            <w:tcW w:type="dxa" w:w="9216"/>
            <w:shd w:val="clear" w:color="auto" w:fill="FFFFFF"/>
            <w:vAlign w:val="center"/>
          </w:tcPr>
          <w:p>
            <w:r>
              <w:rPr>
                <w:sz w:val="18"/>
              </w:rPr>
              <w:t>Is the 4-way status split (SUCCESS / FAILURE / TIMEOUT / NETWORK_ERROR) sufficient for alert rules?</w:t>
            </w:r>
          </w:p>
        </w:tc>
        <w:tc>
          <w:tcPr>
            <w:tcW w:type="dxa" w:w="1872"/>
            <w:shd w:val="clear" w:color="auto" w:fill="FFFFFF"/>
            <w:vAlign w:val="center"/>
          </w:tcPr>
          <w:p>
            <w:r>
              <w:rPr>
                <w:sz w:val="18"/>
              </w:rPr>
              <w:t>Product / Engineering</w:t>
            </w:r>
          </w:p>
        </w:tc>
      </w:tr>
      <w:tr>
        <w:tc>
          <w:tcPr>
            <w:tcW w:type="dxa" w:w="432"/>
            <w:shd w:val="clear" w:color="auto" w:fill="F2F2F2"/>
            <w:vAlign w:val="center"/>
          </w:tcPr>
          <w:p>
            <w:r>
              <w:rPr>
                <w:sz w:val="18"/>
              </w:rPr>
              <w:t>5</w:t>
            </w:r>
          </w:p>
        </w:tc>
        <w:tc>
          <w:tcPr>
            <w:tcW w:type="dxa" w:w="9216"/>
            <w:shd w:val="clear" w:color="auto" w:fill="F2F2F2"/>
            <w:vAlign w:val="center"/>
          </w:tcPr>
          <w:p>
            <w:r>
              <w:rPr>
                <w:sz w:val="18"/>
              </w:rPr>
              <w:t>Confirm vendor_id values are the complete list required on Grafana dashboards</w:t>
            </w:r>
          </w:p>
        </w:tc>
        <w:tc>
          <w:tcPr>
            <w:tcW w:type="dxa" w:w="1872"/>
            <w:shd w:val="clear" w:color="auto" w:fill="F2F2F2"/>
            <w:vAlign w:val="center"/>
          </w:tcPr>
          <w:p>
            <w:r>
              <w:rPr>
                <w:sz w:val="18"/>
              </w:rPr>
              <w:t>Product</w:t>
            </w:r>
          </w:p>
        </w:tc>
      </w:tr>
      <w:tr>
        <w:tc>
          <w:tcPr>
            <w:tcW w:type="dxa" w:w="432"/>
            <w:shd w:val="clear" w:color="auto" w:fill="FFFFFF"/>
            <w:vAlign w:val="center"/>
          </w:tcPr>
          <w:p>
            <w:r>
              <w:rPr>
                <w:sz w:val="18"/>
              </w:rPr>
              <w:t>6</w:t>
            </w:r>
          </w:p>
        </w:tc>
        <w:tc>
          <w:tcPr>
            <w:tcW w:type="dxa" w:w="9216"/>
            <w:shd w:val="clear" w:color="auto" w:fill="FFFFFF"/>
            <w:vAlign w:val="center"/>
          </w:tcPr>
          <w:p>
            <w:r>
              <w:rPr>
                <w:sz w:val="18"/>
              </w:rPr>
              <w:t>Is PII handling in Section 4 acceptable? (No raw PAN / mobile / Aadhaar ever stored in the database)</w:t>
            </w:r>
          </w:p>
        </w:tc>
        <w:tc>
          <w:tcPr>
            <w:tcW w:type="dxa" w:w="1872"/>
            <w:shd w:val="clear" w:color="auto" w:fill="FFFFFF"/>
            <w:vAlign w:val="center"/>
          </w:tcPr>
          <w:p>
            <w:r>
              <w:rPr>
                <w:sz w:val="18"/>
              </w:rPr>
              <w:t>Product / Compliance</w:t>
            </w:r>
          </w:p>
        </w:tc>
      </w:tr>
      <w:tr>
        <w:tc>
          <w:tcPr>
            <w:tcW w:type="dxa" w:w="432"/>
            <w:shd w:val="clear" w:color="auto" w:fill="F2F2F2"/>
            <w:vAlign w:val="center"/>
          </w:tcPr>
          <w:p>
            <w:r>
              <w:rPr>
                <w:sz w:val="18"/>
              </w:rPr>
              <w:t>7</w:t>
            </w:r>
          </w:p>
        </w:tc>
        <w:tc>
          <w:tcPr>
            <w:tcW w:type="dxa" w:w="9216"/>
            <w:shd w:val="clear" w:color="auto" w:fill="F2F2F2"/>
            <w:vAlign w:val="center"/>
          </w:tcPr>
          <w:p>
            <w:r>
              <w:rPr>
                <w:sz w:val="18"/>
              </w:rPr>
              <w:t>90-day row retention and 30-day payload retention — are these acceptable for operational queries?</w:t>
            </w:r>
          </w:p>
        </w:tc>
        <w:tc>
          <w:tcPr>
            <w:tcW w:type="dxa" w:w="1872"/>
            <w:shd w:val="clear" w:color="auto" w:fill="F2F2F2"/>
            <w:vAlign w:val="center"/>
          </w:tcPr>
          <w:p>
            <w:r>
              <w:rPr>
                <w:sz w:val="18"/>
              </w:rPr>
              <w:t>Product / Compliance</w:t>
            </w:r>
          </w:p>
        </w:tc>
      </w:tr>
    </w:tbl>
    <w:p>
      <w:pPr>
        <w:spacing w:after="80"/>
      </w:pPr>
    </w:p>
    <w:p/>
    <w:p>
      <w:pPr>
        <w:jc w:val="center"/>
      </w:pPr>
      <w:r>
        <w:rPr>
          <w:color w:val="999999"/>
          <w:sz w:val="16"/>
        </w:rPr>
        <w:t>Finagle / Tez Credit  ·  Vendor Archive  ·  Schema v1  ·  2026-06-01</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