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engineer with 20+ years building infrastructure for demographic and geospatial data at national scale. I built the Civic Graph data warehouse that harmonized polling data from dozens of firms into a dataset representing $1B+ in accumulated investment. I modernized ETL pipelines with PySpark, dbt, and Databricks — cutting processing times by 57% on one engagement. I maintain siege_utilities, an open-source library with 37 GeoDjango models and PySpark/Sedona distributed computing utilities. My geospatial methods return accurate results in roughly 15% of the time that traditional string comparison approaches require.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Multi-Tenant Data Warehouse (2021 - 2023)</w:t>
      </w:r>
    </w:p>
    <w:p>
      <w:r>
        <w:t>Multi-tenant data warehouse harmonizing polling data from dozens of firms with different methodologies and encoding systems into a unified, queryable dataset.</w:t>
      </w:r>
    </w:p>
    <w:p>
      <w:r>
        <w:t>Technologies: Python, PostgreSQL, PostGIS, PySpark, ETL Pipelines, Meta-Analysis</w:t>
      </w:r>
    </w:p>
    <w:p>
      <w:r>
        <w:t>Impact: Created a dataset representing $1B+ in accumulated investment that became a foundation for modern electoral analytics, serving dozens of polling and mail firms.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