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engineer with 20+ years building infrastructure for demographic and geospatial data at national scale. I built the Civic Graph data warehouse that harmonized polling data from dozens of firms into a $1B+ dataset. I modernized ETL pipelines with PySpark, dbt, and Databricks — cutting processing times by 57% on one engagement. I maintain siege_utilities, an open-source library with 37 GeoDjango models and PySpark/Sedona distributed computing utilities. My systems process billions of records across 178,000+ precincts with sub-200ms query times.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 xml:space="preserve">• Designed sampling methods cutting survey margin of error from </w:t>
      </w:r>
      <w:r>
        <w:rPr>
          <w:b/>
          <w:color w:val="2C3E50"/>
        </w:rPr>
        <w:t>±4.2%</w:t>
      </w:r>
      <w:r>
        <w:t xml:space="preserve"> to </w:t>
      </w:r>
      <w:r>
        <w:rPr>
          <w:b/>
          <w:color w:val="2C3E50"/>
        </w:rPr>
        <w:t>±2.1%</w:t>
      </w:r>
      <w:r>
        <w:t xml:space="preserve"> and improving turnout prediction accuracy from </w:t>
      </w:r>
      <w:r>
        <w:rPr>
          <w:b/>
          <w:color w:val="2C3E50"/>
        </w:rPr>
        <w:t>71%</w:t>
      </w:r>
      <w:r>
        <w:t xml:space="preserve"> to </w:t>
      </w:r>
      <w:r>
        <w:rPr>
          <w:b/>
          <w:color w:val="2C3E50"/>
        </w:rPr>
        <w:t>87%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Worked directly with data and engineering directors at UNICEF and IFRC on impact assessment tools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Multi-Tenant Data Warehouse (2013 - 2016)</w:t>
      </w:r>
    </w:p>
    <w:p>
      <w:r>
        <w:t>Multi-tenant data warehouse harmonizing polling data from dozens of firms with different methodologies and encoding systems into a unified, queryable dataset.</w:t>
      </w:r>
    </w:p>
    <w:p>
      <w:r>
        <w:t>Technologies: Python, PostgreSQL, PostGIS, PySpark, ETL Pipelines, Meta-Analysis</w:t>
      </w:r>
    </w:p>
    <w:p>
      <w:r>
        <w:t>Impact: Created a $1B+ dataset that became a foundation for modern electoral analytics, serving dozens of polling and mail firms.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and sub-200ms query response times across </w:t>
      </w:r>
      <w:r>
        <w:rPr>
          <w:b/>
          <w:color w:val="2C3E50"/>
        </w:rPr>
        <w:t>178,000</w:t>
      </w:r>
      <w:r>
        <w:t>+ precincts.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