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I've spent 20+ years building and owning data environments end-to-end — not just pipelines, but the whole ecosystem. At Helm, I designed Civic Graph as a federated medallion architecture: behavioral, attitudinal, demographic, econometric, and geographical data arriving longitudinally from state, federal, and international agencies with different schemas and update cadences, harmonized into a unified warehouse.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Databricks,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across </w:t>
      </w:r>
      <w:r>
        <w:rPr>
          <w:b/>
          <w:color w:val="2C3E50"/>
        </w:rPr>
        <w:t>178,000</w:t>
      </w:r>
      <w:r>
        <w:t>+ precincts. Geospatial query methods returned results in ~</w:t>
      </w:r>
      <w:r>
        <w:rPr>
          <w:b/>
          <w:color w:val="2C3E50"/>
        </w:rPr>
        <w:t>15%</w:t>
      </w:r>
      <w:r>
        <w:t xml:space="preserve"> of the time traditional string comparison required.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>For a more detailed description of my experience, please visit https://www.dheerajchand.com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