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Political researcher and redistricting specialist with 20+ years in survey methodology, electoral prediction, and demographic modeling. I built FLEEM, a polling system that saved $500K+ annually and supported campaigns for Senators Heinrich and Warren.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Found systematic race coding errors in national voter databases affecting all Black and Asian-American voters — decades of miscoding nobody else had caught. Built geospatial ML algorithms improving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editing, Census integration, and automated compliance checking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pPr>
        <w:pStyle w:val="Heading3"/>
      </w:pPr>
      <w:r>
        <w:t>Programmer - Lake Research Partners (Austin, TX) | 2008</w:t>
      </w:r>
    </w:p>
    <w:p>
      <w:r>
        <w:t>Political Polling &amp; Research</w:t>
      </w:r>
    </w:p>
    <w:p>
      <w:r>
        <w:t>• Pioneered integration of choropleths and hexagonal grid maps into standard polling reports — the firm had never used spatial visualization before</w:t>
      </w:r>
    </w:p>
    <w:p>
      <w:pPr>
        <w:pStyle w:val="Heading2"/>
      </w:pPr>
      <w:r>
        <w:t>KEY PROJECTS</w:t>
      </w:r>
    </w:p>
    <w:p>
      <w:pPr>
        <w:pStyle w:val="Heading3"/>
      </w:pPr>
      <w:r>
        <w:t>FLEEM Political Polling System (2011 - 2012)</w:t>
      </w:r>
    </w:p>
    <w:p>
      <w:r>
        <w:t>Web application using Twilio API for regulated political surveys, emulating a predictive dialer to handle 10,000+ simultaneous calls. Built for PCCC, used in campaigns for Senators Heinrich and Warren.</w:t>
      </w:r>
    </w:p>
    <w:p>
      <w:r>
        <w:t>Technologies: Twilio API, Python, Django, PostgreSQL, GeoDjango, PostGIS, JavaScript, Apache</w:t>
      </w:r>
    </w:p>
    <w:p>
      <w:r>
        <w:t>Impact: Saved PAC $500K+ annually by doing IVR polling in-house instead of contracting with Public Policy Polling. Supported campaigns for Senators Heinrich and Warren.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r>
        <w:t>Technologies: GeoDjango, PostGIS, AWS, Docker, React, Python, Redis, WebSockets</w:t>
      </w:r>
    </w:p>
    <w:p>
      <w:r>
        <w:t>Impact: Reduced mapping costs by 73.5%, saving organizations $4.7M. Made redistricting analysis accessible to organizations that previously couldn't afford it.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>• Redesigned sampling methodologies to achieve stronger sample-to-universe correspondence, producing more representative surveys and more reliable electoral predictions across presidential, gubernatorial, congressional, and senatorial campaigns.</w:t>
      </w:r>
    </w:p>
    <w:p>
      <w:r>
        <w:t>• Data analysis cited in Supreme Court case proceedings, with expert methodology validated at the highest judicial level.</w:t>
      </w:r>
    </w:p>
    <w:p>
      <w:r>
        <w:t>For a more detailed description of my experience, please visit https://www.dheerajchand.com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