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Strategic data and technology consultant with 21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8B4513"/>
        </w:rPr>
        <w:t>CORE COMPETENCIES</w:t>
      </w:r>
    </w:p>
    <w:p>
      <w:r>
        <w:rPr>
          <w:b/>
          <w:color w:val="2D5016"/>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D5016"/>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D5016"/>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8B4513"/>
        </w:rPr>
        <w:t>PROFESSIONAL EXPERIENCE</w:t>
      </w:r>
    </w:p>
    <w:p>
      <w:r>
        <w:rPr>
          <w:b/>
          <w:color w:val="4682B4"/>
        </w:rPr>
        <w:t>PRINCIPAL CONSULTANT</w:t>
      </w:r>
    </w:p>
    <w:p>
      <w:r>
        <w:t>Your Company Name, Your City, ST | 2005 – Present</w:t>
      </w:r>
    </w:p>
    <w:p>
      <w:r>
        <w:rPr>
          <w:i/>
          <w:color w:val="2D5016"/>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pPr>
        <w:pStyle w:val="Heading2"/>
      </w:pPr>
      <w:r>
        <w:rPr>
          <w:color w:val="8B4513"/>
        </w:rPr>
        <w:t>KEY ACHIEVEMENTS AND IMPACT</w:t>
      </w:r>
    </w:p>
    <w:p>
      <w:r>
        <w:rPr>
          <w:b/>
          <w:color w:val="2D5016"/>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