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all Black and Asian-American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Executive authority: Briefed Presidents, Congressmen, Senators, Governors on election integrity, voter sentiment and postmortem analysis</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