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w:t>
      </w:r>
    </w:p>
    <w:p>
      <w:pPr>
        <w:pStyle w:val="Heading2"/>
      </w:pPr>
      <w:r>
        <w:t>CORE COMPETENCIES</w:t>
      </w:r>
    </w:p>
    <w:p>
      <w:r>
        <w:t>Product Management &amp; Strategy: Product Conception &amp; Ideation: Market Research, User Needs Analysis, Opportunity Assessment • Product Architecture &amp; Design: Technical Architecture, System Design, Scalability Planning • Product Lifecycle Management: Roadmap Development, Feature Prioritization, Release Planning • B2B SaaS Development: Multi-tenant Architecture, Platform Strategy, API Design</w:t>
      </w:r>
    </w:p>
    <w:p>
      <w:r>
        <w:t>Technical Product Development: Full-Stack Development: Python (Django/GeoDjango), JavaScript, React, PostgreSQL • Cloud Platforms: AWS (EC2, RDS, S3), Google Cloud Platform, Microsoft Azure • Big Data Technologies: Apache Spark, PySpark, Hadoop, Snowflake, dbt • API Development: RESTful APIs, Microservices, Third-party Integrations</w:t>
      </w:r>
    </w:p>
    <w:p>
      <w:r>
        <w:t>Platform &amp; Infrastructure: Multi-tenant Architecture: Scalable Platform Design, Data Isolation, Performance Optimization • Data Warehousing: ETL/ELT Pipelines, Data Governance, Quality Control • Geospatial Platforms: PostGIS, ArcGIS, Quantum GIS, OSGeo Integration • Security &amp; Compliance: Data Privacy, Access Control, Regulatory Compliance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