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Research and Data Analytics Leader with 21 years of experience directing groundbreaking applied research projects that have shaped policy, influenced elections, and transformed community development outcomes. Led multi-million dollar research initiatives serving thousands of analysts nationwide, with proven expertise in translating complex research insights for diverse stakeholders including elected officials, government agencies, and community organizations. Expert in research methodology design, statistical analysis, and community partnership development with extensive experience addressing systemic poverty challenges and delivering evidence-based solutions that drive meaningful social impact.</w:t>
      </w:r>
    </w:p>
    <w:p>
      <w:pPr>
        <w:pStyle w:val="Heading2"/>
      </w:pPr>
      <w:r>
        <w:t>CORE COMPETENCIES</w:t>
      </w:r>
    </w:p>
    <w:p>
      <w:r>
        <w:t>Applied Research Leadership: Applied Research Project Management (Conception to Completion) • Research Methodology Design and Implementation • Cross-functional Team Leadership and Mentoring • Stakeholder Communication and Translation of Complex Findings • Evidence-Based Framework Development • Survey Methodology and Consumer Insights • Statistical Analysis and Data Validation</w:t>
      </w:r>
    </w:p>
    <w:p>
      <w:r>
        <w:t>Technical Proficiency: Programming: Python (Pandas, SciKit, TensorFlow, Django), R, SQL, Scala • Data Platforms: PostgreSQL, MySQL, Snowflake, Spark, MongoDB, Oracle • Analysis Tools: Excel (Advanced), Tableau, PowerBI, SPSS, SAS • Research Tools: Survey Design, Sampling Methodology, Statistical Modeling • Geospatial Analysis: ESRI ArcGIS, Quantum GIS, PostGIS, OSGeo</w:t>
      </w:r>
    </w:p>
    <w:p>
      <w:r>
        <w:t>Strategic Operations: Community Partnership Development • Government Relations and Policy Analysis • Multi-million Dollar Project Management • Performance Measurement and Evaluation • Data-Driven Decision Making for Social Impact • Public Systems Integration • Stakeholder Briefing and Expert Testimony</w:t>
      </w:r>
    </w:p>
    <w:p>
      <w:pPr>
        <w:pStyle w:val="Heading2"/>
      </w:pPr>
      <w:r>
        <w:t>PROFESSIONAL EXPERIENCE</w:t>
      </w:r>
    </w:p>
    <w:p>
      <w:pPr>
        <w:pStyle w:val="Heading3"/>
      </w:pPr>
      <w:r>
        <w:t>PARTNER - Siege Analytics, Washington, DC | 2005 – Present</w:t>
      </w:r>
    </w:p>
    <w:p>
      <w:r>
        <w:t>Leading Applied Research Projects with Community Development Focus</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Field Research and Data Collection</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