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applied the same federated medallion pattern from Civic Graph to campaign finance data from thousands of committees with different reporting formats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Designed and built Civic Graph — a federated medallion architecture data warehouse harmonizing behavioral, attitudinal, demographic, econometric, and geographical data from state, federal, and international agencies into a unified analytical layer</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 Utilities](https://github.com/siege-analytics/siege_utilities)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Includes geospatial computation functions that run inside Databricks without Apache Sedona or C library dependencies. Census API integration for ACS, Decennial, and PL 94-171 redistricting data. Hydra + Pydantic configuration system. 1,884+ tests. Dual-licensed AGPLv3/Commercial.</w:t>
      </w:r>
    </w:p>
    <w:p>
      <w:r>
        <w:t>Technologies: Python, GeoDjango, PostGIS, PySpark, Apache Sedona, Databricks,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