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using Python, Pandas, and PySpark — processing billions of records daily</w:t>
      </w:r>
    </w:p>
    <w:p>
      <w:r>
        <w:t>• Briefed senior government officials on election integrity and voter sentiment. Data analysis cited in Supreme Court case proceedings</w:t>
      </w:r>
    </w:p>
    <w:p>
      <w:r>
        <w:t xml:space="preserve">• Built and maintain 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Worked directly with data and engineering directors at UNICEF and IFRC on impact assessment tools</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(2021 - 2023)</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$1B+ dataset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