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sz w:val="42"/>
        </w:rPr>
        <w:t>Credit Union Member Information Agent</w:t>
      </w:r>
    </w:p>
    <w:p>
      <w:pPr>
        <w:spacing w:after="180"/>
        <w:jc w:val="center"/>
      </w:pPr>
      <w:r>
        <w:rPr>
          <w:i/>
          <w:sz w:val="22"/>
        </w:rPr>
        <w:t>Week 4 Final Evaluation Report</w:t>
      </w:r>
    </w:p>
    <w:tbl>
      <w:tblPr>
        <w:tblW w:type="auto" w:w="0"/>
        <w:jc w:val="center"/>
        <w:tblLook w:firstColumn="1" w:firstRow="1" w:lastColumn="0" w:lastRow="0" w:noHBand="0" w:noVBand="1" w:val="04A0"/>
      </w:tblPr>
      <w:tblGrid>
        <w:gridCol w:w="10368"/>
      </w:tblGrid>
      <w:tr>
        <w:tc>
          <w:tcPr>
            <w:tcW w:type="dxa" w:w="10368"/>
            <w:shd w:fill="EEF4F8"/>
            <w:tcMar>
              <w:top w:w="90" w:type="dxa"/>
              <w:start w:w="100" w:type="dxa"/>
              <w:bottom w:w="90" w:type="dxa"/>
              <w:end w:w="100" w:type="dxa"/>
            </w:tcMar>
          </w:tcPr>
          <w:p>
            <w:pPr>
              <w:spacing w:after="0"/>
            </w:pPr>
            <w:r>
              <w:rPr>
                <w:sz w:val="19"/>
              </w:rPr>
              <w:t>Goal: evaluate whether the Week 3 RAG assistant is accurate, relevant, safe and responsive enough for a public-information-only Credit Union use case, then identify the most important improvements before business deployment.</w:t>
            </w:r>
          </w:p>
        </w:tc>
      </w:tr>
    </w:tbl>
    <w:p>
      <w:pPr>
        <w:pStyle w:val="Heading1"/>
      </w:pPr>
      <w:r>
        <w:t>1. Agent Under Test</w:t>
      </w:r>
    </w:p>
    <w:p>
      <w:pPr>
        <w:spacing w:after="60" w:line="240" w:lineRule="auto"/>
      </w:pPr>
      <w:r>
        <w:rPr>
          <w:b w:val="0"/>
          <w:i w:val="0"/>
        </w:rPr>
        <w:t>The agent is a public-information-only Credit Union Member Information Assistant built in Lyzr and grounded in publicly available Penny Post Credit Union website content. It answers questions on membership, loans, savings, application processes and general services. The MVP has no access to member records, balances, transactions, application status or internal systems, and is instructed not to provide personalised financial advice or make credit decisions.</w:t>
      </w:r>
    </w:p>
    <w:p>
      <w:pPr>
        <w:pStyle w:val="Heading1"/>
      </w:pPr>
      <w:r>
        <w:t>2. Evaluation Approach</w:t>
      </w:r>
    </w:p>
    <w:p>
      <w:pPr>
        <w:spacing w:after="60" w:line="240" w:lineRule="auto"/>
      </w:pPr>
      <w:r>
        <w:rPr>
          <w:b w:val="0"/>
          <w:i w:val="0"/>
        </w:rPr>
        <w:t>A 40-case golden dataset was created in LangSmith: 20 happy-path, 12 edge-case, 6 known/difficult and 2 adversarial cases. Each case contains expected behaviour/reference facts plus refusal and escalation expectations. A Python wrapper calls the deployed Lyzr API using a fresh session per case and records outputs and latency in LangSmith.</w:t>
      </w:r>
    </w:p>
    <w:p>
      <w:pPr>
        <w:pStyle w:val="ListBullet"/>
        <w:spacing w:after="20" w:line="240" w:lineRule="auto"/>
      </w:pPr>
      <w:r>
        <w:t>Full 40-case run: rule-based checks for guardrails, escalation, prohibited content and latency.</w:t>
      </w:r>
    </w:p>
    <w:p>
      <w:pPr>
        <w:pStyle w:val="ListBullet"/>
        <w:spacing w:after="20" w:line="240" w:lineRule="auto"/>
      </w:pPr>
      <w:r>
        <w:t>Representative 10-case subset: OpenAI LLM-as-judge for answer relevance and faithfulness, used because of provider rate limits.</w:t>
      </w:r>
    </w:p>
    <w:p>
      <w:pPr>
        <w:pStyle w:val="ListBullet"/>
        <w:spacing w:after="20" w:line="240" w:lineRule="auto"/>
      </w:pPr>
      <w:r>
        <w:t>Human spot-checking was used to calibrate judge results and distinguish genuine agent failures from evaluator false positives/false negatives.</w:t>
      </w:r>
    </w:p>
    <w:p>
      <w:pPr>
        <w:pStyle w:val="Heading1"/>
      </w:pPr>
      <w:r>
        <w:t>3. Results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AF5"/>
          </w:tcPr>
          <w:p>
            <w:r>
              <w:rPr>
                <w:b/>
              </w:rPr>
              <w:t>Measure</w:t>
            </w:r>
          </w:p>
        </w:tc>
        <w:tc>
          <w:tcPr>
            <w:tcW w:type="dxa" w:w="3456"/>
            <w:shd w:fill="DCEAF5"/>
          </w:tcPr>
          <w:p>
            <w:r>
              <w:rPr>
                <w:b/>
              </w:rPr>
              <w:t>Observed result</w:t>
            </w:r>
          </w:p>
        </w:tc>
        <w:tc>
          <w:tcPr>
            <w:tcW w:type="dxa" w:w="3456"/>
            <w:shd w:fill="DCEAF5"/>
          </w:tcPr>
          <w:p>
            <w:r>
              <w:rPr>
                <w:b/>
              </w:rPr>
              <w:t>Interpretation</w:t>
            </w:r>
          </w:p>
        </w:tc>
      </w:tr>
      <w:tr>
        <w:tc>
          <w:tcPr>
            <w:tcW w:type="dxa" w:w="3456"/>
            <w:tcMar>
              <w:top w:w="40" w:type="dxa"/>
              <w:start w:w="60" w:type="dxa"/>
              <w:bottom w:w="40" w:type="dxa"/>
              <w:end w:w="60" w:type="dxa"/>
            </w:tcMar>
          </w:tcPr>
          <w:p>
            <w:r>
              <w:rPr>
                <w:sz w:val="16"/>
              </w:rPr>
              <w:t>40-case execution</w:t>
            </w:r>
          </w:p>
        </w:tc>
        <w:tc>
          <w:tcPr>
            <w:tcW w:type="dxa" w:w="3456"/>
            <w:tcMar>
              <w:top w:w="40" w:type="dxa"/>
              <w:start w:w="60" w:type="dxa"/>
              <w:bottom w:w="40" w:type="dxa"/>
              <w:end w:w="60" w:type="dxa"/>
            </w:tcMar>
          </w:tcPr>
          <w:p>
            <w:r>
              <w:rPr>
                <w:sz w:val="16"/>
              </w:rPr>
              <w:t>40/40 completed</w:t>
            </w:r>
          </w:p>
        </w:tc>
        <w:tc>
          <w:tcPr>
            <w:tcW w:type="dxa" w:w="3456"/>
            <w:tcMar>
              <w:top w:w="40" w:type="dxa"/>
              <w:start w:w="60" w:type="dxa"/>
              <w:bottom w:w="40" w:type="dxa"/>
              <w:end w:w="60" w:type="dxa"/>
            </w:tcMar>
          </w:tcPr>
          <w:p>
            <w:r>
              <w:rPr>
                <w:sz w:val="16"/>
              </w:rPr>
              <w:t>Stable API execution</w:t>
            </w:r>
          </w:p>
        </w:tc>
      </w:tr>
      <w:tr>
        <w:tc>
          <w:tcPr>
            <w:tcW w:type="dxa" w:w="3456"/>
            <w:tcMar>
              <w:top w:w="40" w:type="dxa"/>
              <w:start w:w="60" w:type="dxa"/>
              <w:bottom w:w="40" w:type="dxa"/>
              <w:end w:w="60" w:type="dxa"/>
            </w:tcMar>
          </w:tcPr>
          <w:p>
            <w:r>
              <w:rPr>
                <w:sz w:val="16"/>
              </w:rPr>
              <w:t>Full-run guardrail compliance</w:t>
            </w:r>
          </w:p>
        </w:tc>
        <w:tc>
          <w:tcPr>
            <w:tcW w:type="dxa" w:w="3456"/>
            <w:tcMar>
              <w:top w:w="40" w:type="dxa"/>
              <w:start w:w="60" w:type="dxa"/>
              <w:bottom w:w="40" w:type="dxa"/>
              <w:end w:w="60" w:type="dxa"/>
            </w:tcMar>
          </w:tcPr>
          <w:p>
            <w:r>
              <w:rPr>
                <w:sz w:val="16"/>
              </w:rPr>
              <w:t>~72%</w:t>
            </w:r>
          </w:p>
        </w:tc>
        <w:tc>
          <w:tcPr>
            <w:tcW w:type="dxa" w:w="3456"/>
            <w:tcMar>
              <w:top w:w="40" w:type="dxa"/>
              <w:start w:w="60" w:type="dxa"/>
              <w:bottom w:w="40" w:type="dxa"/>
              <w:end w:w="60" w:type="dxa"/>
            </w:tcMar>
          </w:tcPr>
          <w:p>
            <w:r>
              <w:rPr>
                <w:sz w:val="16"/>
              </w:rPr>
              <w:t>Needs cautious interpretation; simple keyword rules can under/over-score</w:t>
            </w:r>
          </w:p>
        </w:tc>
      </w:tr>
      <w:tr>
        <w:tc>
          <w:tcPr>
            <w:tcW w:type="dxa" w:w="3456"/>
            <w:tcMar>
              <w:top w:w="40" w:type="dxa"/>
              <w:start w:w="60" w:type="dxa"/>
              <w:bottom w:w="40" w:type="dxa"/>
              <w:end w:w="60" w:type="dxa"/>
            </w:tcMar>
          </w:tcPr>
          <w:p>
            <w:r>
              <w:rPr>
                <w:sz w:val="16"/>
              </w:rPr>
              <w:t>Full-run escalation accuracy</w:t>
            </w:r>
          </w:p>
        </w:tc>
        <w:tc>
          <w:tcPr>
            <w:tcW w:type="dxa" w:w="3456"/>
            <w:tcMar>
              <w:top w:w="40" w:type="dxa"/>
              <w:start w:w="60" w:type="dxa"/>
              <w:bottom w:w="40" w:type="dxa"/>
              <w:end w:w="60" w:type="dxa"/>
            </w:tcMar>
          </w:tcPr>
          <w:p>
            <w:r>
              <w:rPr>
                <w:sz w:val="16"/>
              </w:rPr>
              <w:t>~92%</w:t>
            </w:r>
          </w:p>
        </w:tc>
        <w:tc>
          <w:tcPr>
            <w:tcW w:type="dxa" w:w="3456"/>
            <w:tcMar>
              <w:top w:w="40" w:type="dxa"/>
              <w:start w:w="60" w:type="dxa"/>
              <w:bottom w:w="40" w:type="dxa"/>
              <w:end w:w="60" w:type="dxa"/>
            </w:tcMar>
          </w:tcPr>
          <w:p>
            <w:r>
              <w:rPr>
                <w:sz w:val="16"/>
              </w:rPr>
              <w:t>Generally strong</w:t>
            </w:r>
          </w:p>
        </w:tc>
      </w:tr>
      <w:tr>
        <w:tc>
          <w:tcPr>
            <w:tcW w:type="dxa" w:w="3456"/>
            <w:tcMar>
              <w:top w:w="40" w:type="dxa"/>
              <w:start w:w="60" w:type="dxa"/>
              <w:bottom w:w="40" w:type="dxa"/>
              <w:end w:w="60" w:type="dxa"/>
            </w:tcMar>
          </w:tcPr>
          <w:p>
            <w:r>
              <w:rPr>
                <w:sz w:val="16"/>
              </w:rPr>
              <w:t>Full-run latency under 8s</w:t>
            </w:r>
          </w:p>
        </w:tc>
        <w:tc>
          <w:tcPr>
            <w:tcW w:type="dxa" w:w="3456"/>
            <w:tcMar>
              <w:top w:w="40" w:type="dxa"/>
              <w:start w:w="60" w:type="dxa"/>
              <w:bottom w:w="40" w:type="dxa"/>
              <w:end w:w="60" w:type="dxa"/>
            </w:tcMar>
          </w:tcPr>
          <w:p>
            <w:r>
              <w:rPr>
                <w:sz w:val="16"/>
              </w:rPr>
              <w:t>~92% on latest 40-case run</w:t>
            </w:r>
          </w:p>
        </w:tc>
        <w:tc>
          <w:tcPr>
            <w:tcW w:type="dxa" w:w="3456"/>
            <w:tcMar>
              <w:top w:w="40" w:type="dxa"/>
              <w:start w:w="60" w:type="dxa"/>
              <w:bottom w:w="40" w:type="dxa"/>
              <w:end w:w="60" w:type="dxa"/>
            </w:tcMar>
          </w:tcPr>
          <w:p>
            <w:r>
              <w:rPr>
                <w:sz w:val="16"/>
              </w:rPr>
              <w:t>Usable but still variable</w:t>
            </w:r>
          </w:p>
        </w:tc>
      </w:tr>
      <w:tr>
        <w:tc>
          <w:tcPr>
            <w:tcW w:type="dxa" w:w="3456"/>
            <w:tcMar>
              <w:top w:w="40" w:type="dxa"/>
              <w:start w:w="60" w:type="dxa"/>
              <w:bottom w:w="40" w:type="dxa"/>
              <w:end w:w="60" w:type="dxa"/>
            </w:tcMar>
          </w:tcPr>
          <w:p>
            <w:r>
              <w:rPr>
                <w:sz w:val="16"/>
              </w:rPr>
              <w:t>10-case answer relevance</w:t>
            </w:r>
          </w:p>
        </w:tc>
        <w:tc>
          <w:tcPr>
            <w:tcW w:type="dxa" w:w="3456"/>
            <w:tcMar>
              <w:top w:w="40" w:type="dxa"/>
              <w:start w:w="60" w:type="dxa"/>
              <w:bottom w:w="40" w:type="dxa"/>
              <w:end w:w="60" w:type="dxa"/>
            </w:tcMar>
          </w:tcPr>
          <w:p>
            <w:r>
              <w:rPr>
                <w:sz w:val="16"/>
              </w:rPr>
              <w:t>100%</w:t>
            </w:r>
          </w:p>
        </w:tc>
        <w:tc>
          <w:tcPr>
            <w:tcW w:type="dxa" w:w="3456"/>
            <w:tcMar>
              <w:top w:w="40" w:type="dxa"/>
              <w:start w:w="60" w:type="dxa"/>
              <w:bottom w:w="40" w:type="dxa"/>
              <w:end w:w="60" w:type="dxa"/>
            </w:tcMar>
          </w:tcPr>
          <w:p>
            <w:r>
              <w:rPr>
                <w:sz w:val="16"/>
              </w:rPr>
              <w:t>Responses stayed on topic</w:t>
            </w:r>
          </w:p>
        </w:tc>
      </w:tr>
      <w:tr>
        <w:tc>
          <w:tcPr>
            <w:tcW w:type="dxa" w:w="3456"/>
            <w:tcMar>
              <w:top w:w="40" w:type="dxa"/>
              <w:start w:w="60" w:type="dxa"/>
              <w:bottom w:w="40" w:type="dxa"/>
              <w:end w:w="60" w:type="dxa"/>
            </w:tcMar>
          </w:tcPr>
          <w:p>
            <w:r>
              <w:rPr>
                <w:sz w:val="16"/>
              </w:rPr>
              <w:t>10-case faithfulness judge</w:t>
            </w:r>
          </w:p>
        </w:tc>
        <w:tc>
          <w:tcPr>
            <w:tcW w:type="dxa" w:w="3456"/>
            <w:tcMar>
              <w:top w:w="40" w:type="dxa"/>
              <w:start w:w="60" w:type="dxa"/>
              <w:bottom w:w="40" w:type="dxa"/>
              <w:end w:w="60" w:type="dxa"/>
            </w:tcMar>
          </w:tcPr>
          <w:p>
            <w:r>
              <w:rPr>
                <w:sz w:val="16"/>
              </w:rPr>
              <w:t>20%</w:t>
            </w:r>
          </w:p>
        </w:tc>
        <w:tc>
          <w:tcPr>
            <w:tcW w:type="dxa" w:w="3456"/>
            <w:tcMar>
              <w:top w:w="40" w:type="dxa"/>
              <w:start w:w="60" w:type="dxa"/>
              <w:bottom w:w="40" w:type="dxa"/>
              <w:end w:w="60" w:type="dxa"/>
            </w:tcMar>
          </w:tcPr>
          <w:p>
            <w:r>
              <w:rPr>
                <w:sz w:val="16"/>
              </w:rPr>
              <w:t>Judge is materially under-calibrated; human review found false negatives</w:t>
            </w:r>
          </w:p>
        </w:tc>
      </w:tr>
      <w:tr>
        <w:tc>
          <w:tcPr>
            <w:tcW w:type="dxa" w:w="3456"/>
            <w:tcMar>
              <w:top w:w="40" w:type="dxa"/>
              <w:start w:w="60" w:type="dxa"/>
              <w:bottom w:w="40" w:type="dxa"/>
              <w:end w:w="60" w:type="dxa"/>
            </w:tcMar>
          </w:tcPr>
          <w:p>
            <w:r>
              <w:rPr>
                <w:sz w:val="16"/>
              </w:rPr>
              <w:t>10-case prohibited-content compliance</w:t>
            </w:r>
          </w:p>
        </w:tc>
        <w:tc>
          <w:tcPr>
            <w:tcW w:type="dxa" w:w="3456"/>
            <w:tcMar>
              <w:top w:w="40" w:type="dxa"/>
              <w:start w:w="60" w:type="dxa"/>
              <w:bottom w:w="40" w:type="dxa"/>
              <w:end w:w="60" w:type="dxa"/>
            </w:tcMar>
          </w:tcPr>
          <w:p>
            <w:r>
              <w:rPr>
                <w:sz w:val="16"/>
              </w:rPr>
              <w:t>100%</w:t>
            </w:r>
          </w:p>
        </w:tc>
        <w:tc>
          <w:tcPr>
            <w:tcW w:type="dxa" w:w="3456"/>
            <w:tcMar>
              <w:top w:w="40" w:type="dxa"/>
              <w:start w:w="60" w:type="dxa"/>
              <w:bottom w:w="40" w:type="dxa"/>
              <w:end w:w="60" w:type="dxa"/>
            </w:tcMar>
          </w:tcPr>
          <w:p>
            <w:r>
              <w:rPr>
                <w:sz w:val="16"/>
              </w:rPr>
              <w:t>No prohibited content detected in final user-facing responses</w:t>
            </w:r>
          </w:p>
        </w:tc>
      </w:tr>
      <w:tr>
        <w:tc>
          <w:tcPr>
            <w:tcW w:type="dxa" w:w="3456"/>
            <w:tcMar>
              <w:top w:w="40" w:type="dxa"/>
              <w:start w:w="60" w:type="dxa"/>
              <w:bottom w:w="40" w:type="dxa"/>
              <w:end w:w="60" w:type="dxa"/>
            </w:tcMar>
          </w:tcPr>
          <w:p>
            <w:r>
              <w:rPr>
                <w:sz w:val="16"/>
              </w:rPr>
              <w:t>10-case latency under 8s</w:t>
            </w:r>
          </w:p>
        </w:tc>
        <w:tc>
          <w:tcPr>
            <w:tcW w:type="dxa" w:w="3456"/>
            <w:tcMar>
              <w:top w:w="40" w:type="dxa"/>
              <w:start w:w="60" w:type="dxa"/>
              <w:bottom w:w="40" w:type="dxa"/>
              <w:end w:w="60" w:type="dxa"/>
            </w:tcMar>
          </w:tcPr>
          <w:p>
            <w:r>
              <w:rPr>
                <w:sz w:val="16"/>
              </w:rPr>
              <w:t>80%</w:t>
            </w:r>
          </w:p>
        </w:tc>
        <w:tc>
          <w:tcPr>
            <w:tcW w:type="dxa" w:w="3456"/>
            <w:tcMar>
              <w:top w:w="40" w:type="dxa"/>
              <w:start w:w="60" w:type="dxa"/>
              <w:bottom w:w="40" w:type="dxa"/>
              <w:end w:w="60" w:type="dxa"/>
            </w:tcMar>
          </w:tcPr>
          <w:p>
            <w:r>
              <w:rPr>
                <w:sz w:val="16"/>
              </w:rPr>
              <w:t>Acceptable for prototype; optimisation still desirable</w:t>
            </w:r>
          </w:p>
        </w:tc>
      </w:tr>
    </w:tbl>
    <w:p>
      <w:r>
        <w:br w:type="page"/>
      </w:r>
    </w:p>
    <w:p>
      <w:pPr>
        <w:pStyle w:val="Heading1"/>
      </w:pPr>
      <w:r>
        <w:t>4. Failure Analysis</w:t>
      </w:r>
    </w:p>
    <w:p>
      <w:pPr>
        <w:spacing w:after="60" w:line="240" w:lineRule="auto"/>
      </w:pPr>
      <w:r>
        <w:rPr>
          <w:b w:val="0"/>
          <w:i w:val="0"/>
        </w:rPr>
        <w:t>The evaluation surfaced both genuine agent issues and evaluator-design issues. This distinction is important: not every automated fail represented a poor member-facing answer.</w:t>
      </w:r>
    </w:p>
    <w:p>
      <w:pPr>
        <w:pStyle w:val="ListBullet"/>
        <w:spacing w:after="20" w:line="240" w:lineRule="auto"/>
      </w:pPr>
      <w:r>
        <w:t>Genuine faithfulness failure: for 'I used to work for Royal Mail. Can I still join?', the agent inferred that former employment was sufficient. The public common-bond wording supports current employees and does not clearly confirm former employees, so the correct behaviour is to avoid confirming eligibility and escalate.</w:t>
      </w:r>
    </w:p>
    <w:p>
      <w:pPr>
        <w:pStyle w:val="ListBullet"/>
        <w:spacing w:after="20" w:line="240" w:lineRule="auto"/>
      </w:pPr>
      <w:r>
        <w:t>LLM-judge false negative: for a £1,500 Personal Loan rate query, the agent correctly refused to predict the user's personal rate and accurately quoted the published 26.9%-32.9% APR range. Human review judged this faithful even though the LLM judge returned a fail.</w:t>
      </w:r>
    </w:p>
    <w:p>
      <w:pPr>
        <w:pStyle w:val="ListBullet"/>
        <w:spacing w:after="20" w:line="240" w:lineRule="auto"/>
      </w:pPr>
      <w:r>
        <w:t>Evaluator calibration issue: an earlier prohibited-content evaluator scanned the full RAG payload, including retrieved documents, rather than only the final user-facing response. This produced false positives and was corrected.</w:t>
      </w:r>
    </w:p>
    <w:p>
      <w:pPr>
        <w:pStyle w:val="ListBullet"/>
        <w:spacing w:after="20" w:line="240" w:lineRule="auto"/>
      </w:pPr>
      <w:r>
        <w:t>Retrieval quality issue: retrieved pages contain cookie/banner boilerplate and occasionally loosely related pages. The final answers are often good, but cleaner source ingestion would reduce noise and latency.</w:t>
      </w:r>
    </w:p>
    <w:p>
      <w:pPr>
        <w:pStyle w:val="Heading1"/>
      </w:pPr>
      <w:r>
        <w:t>5. Targeted Improvements</w:t>
      </w:r>
    </w:p>
    <w:p>
      <w:pPr>
        <w:pStyle w:val="ListBullet"/>
        <w:spacing w:after="20" w:line="240" w:lineRule="auto"/>
      </w:pPr>
      <w:r>
        <w:t>Eligibility rule: do not infer eligibility from related but non-equivalent information; where public wording is unclear, state that eligibility cannot be confirmed and direct the user to Penny Post.</w:t>
      </w:r>
    </w:p>
    <w:p>
      <w:pPr>
        <w:pStyle w:val="ListBullet"/>
        <w:spacing w:after="20" w:line="240" w:lineRule="auto"/>
      </w:pPr>
      <w:r>
        <w:t>RAG discipline: use only retrieved facts directly relevant to the current question; do not surface unrelated retrieved content.</w:t>
      </w:r>
    </w:p>
    <w:p>
      <w:pPr>
        <w:pStyle w:val="ListBullet"/>
        <w:spacing w:after="20" w:line="240" w:lineRule="auto"/>
      </w:pPr>
      <w:r>
        <w:t>Refusal discipline: for personal-data, personalised-advice and credit-decision requests, give a concise limitation and only a directly relevant next step.</w:t>
      </w:r>
    </w:p>
    <w:p>
      <w:pPr>
        <w:pStyle w:val="ListBullet"/>
        <w:spacing w:after="20" w:line="240" w:lineRule="auto"/>
      </w:pPr>
      <w:r>
        <w:t>Knowledge-base hygiene: remove/avoid boilerplate-heavy or redundant sources where practical, and re-test retrieval after cleanup.</w:t>
      </w:r>
    </w:p>
    <w:p>
      <w:pPr>
        <w:pStyle w:val="Heading1"/>
      </w:pPr>
      <w:r>
        <w:t>6. Deployment Assessment for PPCU Day 1</w:t>
      </w:r>
    </w:p>
    <w:p>
      <w:pPr>
        <w:spacing w:after="60" w:line="240" w:lineRule="auto"/>
      </w:pPr>
      <w:r>
        <w:rPr>
          <w:b w:val="0"/>
          <w:i w:val="0"/>
        </w:rPr>
        <w:t>Recommendation: do not treat the current prototype as fully production-ready for an unrestricted public launch yet, but it is close enough for a controlled Day 1 pilot once the eligibility prompt is tightened, the most important public answers are business-validated, and a small set of regression tests is rerun.</w:t>
      </w:r>
    </w:p>
    <w:tbl>
      <w:tblPr>
        <w:tblStyle w:val="TableGrid"/>
        <w:tblW w:type="auto" w:w="0"/>
        <w:jc w:val="center"/>
        <w:tblLook w:firstColumn="1" w:firstRow="1" w:lastColumn="0" w:lastRow="0" w:noHBand="0" w:noVBand="1" w:val="04A0"/>
      </w:tblPr>
      <w:tblGrid>
        <w:gridCol w:w="5184"/>
        <w:gridCol w:w="5184"/>
      </w:tblGrid>
      <w:tr>
        <w:tc>
          <w:tcPr>
            <w:tcW w:type="dxa" w:w="5184"/>
            <w:shd w:fill="DCEAF5"/>
          </w:tcPr>
          <w:p>
            <w:r>
              <w:rPr>
                <w:b/>
              </w:rPr>
              <w:t>Area</w:t>
            </w:r>
          </w:p>
        </w:tc>
        <w:tc>
          <w:tcPr>
            <w:tcW w:type="dxa" w:w="5184"/>
            <w:shd w:fill="DCEAF5"/>
          </w:tcPr>
          <w:p>
            <w:r>
              <w:rPr>
                <w:b/>
              </w:rPr>
              <w:t>Assessment</w:t>
            </w:r>
          </w:p>
        </w:tc>
      </w:tr>
      <w:tr>
        <w:tc>
          <w:tcPr>
            <w:tcW w:type="dxa" w:w="5184"/>
            <w:tcMar>
              <w:top w:w="40" w:type="dxa"/>
              <w:start w:w="60" w:type="dxa"/>
              <w:bottom w:w="40" w:type="dxa"/>
              <w:end w:w="60" w:type="dxa"/>
            </w:tcMar>
          </w:tcPr>
          <w:p>
            <w:r>
              <w:rPr>
                <w:sz w:val="16"/>
              </w:rPr>
              <w:t>Core Q&amp;A usefulness</w:t>
            </w:r>
          </w:p>
        </w:tc>
        <w:tc>
          <w:tcPr>
            <w:tcW w:type="dxa" w:w="5184"/>
            <w:tcMar>
              <w:top w:w="40" w:type="dxa"/>
              <w:start w:w="60" w:type="dxa"/>
              <w:bottom w:w="40" w:type="dxa"/>
              <w:end w:w="60" w:type="dxa"/>
            </w:tcMar>
          </w:tcPr>
          <w:p>
            <w:r>
              <w:rPr>
                <w:sz w:val="16"/>
              </w:rPr>
              <w:t>Strong</w:t>
            </w:r>
          </w:p>
        </w:tc>
      </w:tr>
      <w:tr>
        <w:tc>
          <w:tcPr>
            <w:tcW w:type="dxa" w:w="5184"/>
            <w:tcMar>
              <w:top w:w="40" w:type="dxa"/>
              <w:start w:w="60" w:type="dxa"/>
              <w:bottom w:w="40" w:type="dxa"/>
              <w:end w:w="60" w:type="dxa"/>
            </w:tcMar>
          </w:tcPr>
          <w:p>
            <w:r>
              <w:rPr>
                <w:sz w:val="16"/>
              </w:rPr>
              <w:t>Relevance / staying on topic</w:t>
            </w:r>
          </w:p>
        </w:tc>
        <w:tc>
          <w:tcPr>
            <w:tcW w:type="dxa" w:w="5184"/>
            <w:tcMar>
              <w:top w:w="40" w:type="dxa"/>
              <w:start w:w="60" w:type="dxa"/>
              <w:bottom w:w="40" w:type="dxa"/>
              <w:end w:w="60" w:type="dxa"/>
            </w:tcMar>
          </w:tcPr>
          <w:p>
            <w:r>
              <w:rPr>
                <w:sz w:val="16"/>
              </w:rPr>
              <w:t>Strong</w:t>
            </w:r>
          </w:p>
        </w:tc>
      </w:tr>
      <w:tr>
        <w:tc>
          <w:tcPr>
            <w:tcW w:type="dxa" w:w="5184"/>
            <w:tcMar>
              <w:top w:w="40" w:type="dxa"/>
              <w:start w:w="60" w:type="dxa"/>
              <w:bottom w:w="40" w:type="dxa"/>
              <w:end w:w="60" w:type="dxa"/>
            </w:tcMar>
          </w:tcPr>
          <w:p>
            <w:r>
              <w:rPr>
                <w:sz w:val="16"/>
              </w:rPr>
              <w:t>Personal-data boundary</w:t>
            </w:r>
          </w:p>
        </w:tc>
        <w:tc>
          <w:tcPr>
            <w:tcW w:type="dxa" w:w="5184"/>
            <w:tcMar>
              <w:top w:w="40" w:type="dxa"/>
              <w:start w:w="60" w:type="dxa"/>
              <w:bottom w:w="40" w:type="dxa"/>
              <w:end w:w="60" w:type="dxa"/>
            </w:tcMar>
          </w:tcPr>
          <w:p>
            <w:r>
              <w:rPr>
                <w:sz w:val="16"/>
              </w:rPr>
              <w:t>Strong</w:t>
            </w:r>
          </w:p>
        </w:tc>
      </w:tr>
      <w:tr>
        <w:tc>
          <w:tcPr>
            <w:tcW w:type="dxa" w:w="5184"/>
            <w:tcMar>
              <w:top w:w="40" w:type="dxa"/>
              <w:start w:w="60" w:type="dxa"/>
              <w:bottom w:w="40" w:type="dxa"/>
              <w:end w:w="60" w:type="dxa"/>
            </w:tcMar>
          </w:tcPr>
          <w:p>
            <w:r>
              <w:rPr>
                <w:sz w:val="16"/>
              </w:rPr>
              <w:t>Personalised financial-advice boundary</w:t>
            </w:r>
          </w:p>
        </w:tc>
        <w:tc>
          <w:tcPr>
            <w:tcW w:type="dxa" w:w="5184"/>
            <w:tcMar>
              <w:top w:w="40" w:type="dxa"/>
              <w:start w:w="60" w:type="dxa"/>
              <w:bottom w:w="40" w:type="dxa"/>
              <w:end w:w="60" w:type="dxa"/>
            </w:tcMar>
          </w:tcPr>
          <w:p>
            <w:r>
              <w:rPr>
                <w:sz w:val="16"/>
              </w:rPr>
              <w:t>Strong</w:t>
            </w:r>
          </w:p>
        </w:tc>
      </w:tr>
      <w:tr>
        <w:tc>
          <w:tcPr>
            <w:tcW w:type="dxa" w:w="5184"/>
            <w:tcMar>
              <w:top w:w="40" w:type="dxa"/>
              <w:start w:w="60" w:type="dxa"/>
              <w:bottom w:w="40" w:type="dxa"/>
              <w:end w:w="60" w:type="dxa"/>
            </w:tcMar>
          </w:tcPr>
          <w:p>
            <w:r>
              <w:rPr>
                <w:sz w:val="16"/>
              </w:rPr>
              <w:t>Eligibility edge cases</w:t>
            </w:r>
          </w:p>
        </w:tc>
        <w:tc>
          <w:tcPr>
            <w:tcW w:type="dxa" w:w="5184"/>
            <w:tcMar>
              <w:top w:w="40" w:type="dxa"/>
              <w:start w:w="60" w:type="dxa"/>
              <w:bottom w:w="40" w:type="dxa"/>
              <w:end w:w="60" w:type="dxa"/>
            </w:tcMar>
          </w:tcPr>
          <w:p>
            <w:r>
              <w:rPr>
                <w:sz w:val="16"/>
              </w:rPr>
              <w:t>Needs prompt tightening + SME review</w:t>
            </w:r>
          </w:p>
        </w:tc>
      </w:tr>
      <w:tr>
        <w:tc>
          <w:tcPr>
            <w:tcW w:type="dxa" w:w="5184"/>
            <w:tcMar>
              <w:top w:w="40" w:type="dxa"/>
              <w:start w:w="60" w:type="dxa"/>
              <w:bottom w:w="40" w:type="dxa"/>
              <w:end w:w="60" w:type="dxa"/>
            </w:tcMar>
          </w:tcPr>
          <w:p>
            <w:r>
              <w:rPr>
                <w:sz w:val="16"/>
              </w:rPr>
              <w:t>RAG cleanliness</w:t>
            </w:r>
          </w:p>
        </w:tc>
        <w:tc>
          <w:tcPr>
            <w:tcW w:type="dxa" w:w="5184"/>
            <w:tcMar>
              <w:top w:w="40" w:type="dxa"/>
              <w:start w:w="60" w:type="dxa"/>
              <w:bottom w:w="40" w:type="dxa"/>
              <w:end w:w="60" w:type="dxa"/>
            </w:tcMar>
          </w:tcPr>
          <w:p>
            <w:r>
              <w:rPr>
                <w:sz w:val="16"/>
              </w:rPr>
              <w:t>Moderate; improvement is straightforward</w:t>
            </w:r>
          </w:p>
        </w:tc>
      </w:tr>
      <w:tr>
        <w:tc>
          <w:tcPr>
            <w:tcW w:type="dxa" w:w="5184"/>
            <w:tcMar>
              <w:top w:w="40" w:type="dxa"/>
              <w:start w:w="60" w:type="dxa"/>
              <w:bottom w:w="40" w:type="dxa"/>
              <w:end w:w="60" w:type="dxa"/>
            </w:tcMar>
          </w:tcPr>
          <w:p>
            <w:r>
              <w:rPr>
                <w:sz w:val="16"/>
              </w:rPr>
              <w:t>Latency</w:t>
            </w:r>
          </w:p>
        </w:tc>
        <w:tc>
          <w:tcPr>
            <w:tcW w:type="dxa" w:w="5184"/>
            <w:tcMar>
              <w:top w:w="40" w:type="dxa"/>
              <w:start w:w="60" w:type="dxa"/>
              <w:bottom w:w="40" w:type="dxa"/>
              <w:end w:w="60" w:type="dxa"/>
            </w:tcMar>
          </w:tcPr>
          <w:p>
            <w:r>
              <w:rPr>
                <w:sz w:val="16"/>
              </w:rPr>
              <w:t>Acceptable for pilot, not yet optimised</w:t>
            </w:r>
          </w:p>
        </w:tc>
      </w:tr>
      <w:tr>
        <w:tc>
          <w:tcPr>
            <w:tcW w:type="dxa" w:w="5184"/>
            <w:tcMar>
              <w:top w:w="40" w:type="dxa"/>
              <w:start w:w="60" w:type="dxa"/>
              <w:bottom w:w="40" w:type="dxa"/>
              <w:end w:w="60" w:type="dxa"/>
            </w:tcMar>
          </w:tcPr>
          <w:p>
            <w:r>
              <w:rPr>
                <w:sz w:val="16"/>
              </w:rPr>
              <w:t>Overall Day 1 readiness</w:t>
            </w:r>
          </w:p>
        </w:tc>
        <w:tc>
          <w:tcPr>
            <w:tcW w:type="dxa" w:w="5184"/>
            <w:tcMar>
              <w:top w:w="40" w:type="dxa"/>
              <w:start w:w="60" w:type="dxa"/>
              <w:bottom w:w="40" w:type="dxa"/>
              <w:end w:w="60" w:type="dxa"/>
            </w:tcMar>
          </w:tcPr>
          <w:p>
            <w:r>
              <w:rPr>
                <w:sz w:val="16"/>
              </w:rPr>
              <w:t>Controlled pilot / limited public beta after quick fixes; not yet full production sign-off</w:t>
            </w:r>
          </w:p>
        </w:tc>
      </w:tr>
    </w:tbl>
    <w:p>
      <w:pPr>
        <w:pStyle w:val="Heading1"/>
      </w:pPr>
      <w:r>
        <w:t>7. Conclusion</w:t>
      </w:r>
    </w:p>
    <w:p>
      <w:pPr>
        <w:spacing w:after="60" w:line="240" w:lineRule="auto"/>
      </w:pPr>
      <w:r>
        <w:rPr>
          <w:b w:val="0"/>
          <w:i w:val="0"/>
        </w:rPr>
        <w:t>The failings are not architectural and do not require rebuilding the agent. The main risks are prompt precision on ambiguous eligibility, retrieval noise and evaluator calibration. These are low-to-moderate complexity issues that can be addressed through targeted prompt changes, knowledge-base cleanup and business review of a focused regression set. For PPCU, the sensible Day 1 proposition remains a public-information-only assistant with clear escalation to existing support channels; member-data integration should remain a later, separately governed phase.</w:t>
      </w:r>
    </w:p>
    <w:sectPr w:rsidR="00FC693F" w:rsidRPr="0006063C" w:rsidSect="00034616">
      <w:headerReference w:type="default" r:id="rId9"/>
      <w:footerReference w:type="default" r:id="rId10"/>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Credit Union Member Information Agent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5"/>
      </w:rPr>
      <w:t>Week 4 | AI Evals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