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jc w:val="center"/>
      </w:pPr>
      <w:r>
        <w:rPr>
          <w:rFonts w:ascii="Aptos Display" w:hAnsi="Aptos Display"/>
          <w:b/>
          <w:sz w:val="44"/>
        </w:rPr>
        <w:t>Credit Union Member Information Agent</w:t>
      </w:r>
    </w:p>
    <w:p>
      <w:pPr>
        <w:spacing w:after="200"/>
        <w:jc w:val="center"/>
      </w:pPr>
      <w:r>
        <w:rPr>
          <w:i/>
          <w:sz w:val="21"/>
        </w:rPr>
        <w:t>GenAI Course Project Documentation</w:t>
      </w:r>
    </w:p>
    <w:tbl>
      <w:tblPr>
        <w:tblW w:type="auto" w:w="0"/>
        <w:jc w:val="center"/>
        <w:tblLook w:firstColumn="1" w:firstRow="1" w:lastColumn="0" w:lastRow="0" w:noHBand="0" w:noVBand="1" w:val="04A0"/>
      </w:tblPr>
      <w:tblGrid>
        <w:gridCol w:w="10368"/>
      </w:tblGrid>
      <w:tr>
        <w:tc>
          <w:tcPr>
            <w:tcW w:type="dxa" w:w="10368"/>
            <w:shd w:fill="EEF3F8"/>
            <w:tcMar>
              <w:top w:w="110" w:type="dxa"/>
              <w:start w:w="120" w:type="dxa"/>
              <w:bottom w:w="110" w:type="dxa"/>
              <w:end w:w="120" w:type="dxa"/>
            </w:tcMar>
          </w:tcPr>
          <w:p>
            <w:pPr>
              <w:spacing w:after="0"/>
            </w:pPr>
            <w:r>
              <w:rPr>
                <w:sz w:val="19"/>
              </w:rPr>
              <w:t>A retrieval-augmented AI assistant that answers general Credit Union questions using approved public website information only. The prototype deliberately excludes member data, account access, personalised financial advice, credit decisions and transactions.</w:t>
            </w:r>
          </w:p>
        </w:tc>
      </w:tr>
    </w:tbl>
    <w:p>
      <w:pPr>
        <w:spacing w:after="0"/>
      </w:pPr>
    </w:p>
    <w:p>
      <w:pPr>
        <w:pStyle w:val="Heading1"/>
      </w:pPr>
      <w:r>
        <w:t>1. Project Overview</w:t>
      </w:r>
    </w:p>
    <w:p>
      <w:pPr>
        <w:spacing w:after="60" w:line="240" w:lineRule="auto"/>
      </w:pPr>
      <w:r>
        <w:t>This project was created as part of a GenAI course but is based on a genuine Credit Union requirement. Members and prospective members frequently need straightforward information about joining, loans, savings, published rates, application processes and contact details. Much of this information already exists online, but users must search through multiple pages to find it.</w:t>
      </w:r>
    </w:p>
    <w:p>
      <w:pPr>
        <w:spacing w:after="60" w:line="240" w:lineRule="auto"/>
      </w:pPr>
      <w:r>
        <w:t>The solution is a conversational AI agent that retrieves relevant content from the Credit Union's public website and explains it in clear, member-friendly language. The initial version is intentionally an information assistant rather than a transactional or account-servicing bot.</w:t>
      </w:r>
    </w:p>
    <w:p>
      <w:pPr>
        <w:pStyle w:val="Heading1"/>
      </w:pPr>
      <w:r>
        <w:t>2. Objectives</w:t>
      </w:r>
    </w:p>
    <w:p>
      <w:pPr>
        <w:pStyle w:val="ListBullet"/>
        <w:spacing w:after="20" w:line="240" w:lineRule="auto"/>
      </w:pPr>
      <w:r>
        <w:t>Make public Credit Union information easier to find and understand.</w:t>
      </w:r>
    </w:p>
    <w:p>
      <w:pPr>
        <w:pStyle w:val="ListBullet"/>
        <w:spacing w:after="20" w:line="240" w:lineRule="auto"/>
      </w:pPr>
      <w:r>
        <w:t>Ground answers in the approved website knowledge base rather than relying on general model knowledge.</w:t>
      </w:r>
    </w:p>
    <w:p>
      <w:pPr>
        <w:pStyle w:val="ListBullet"/>
        <w:spacing w:after="20" w:line="240" w:lineRule="auto"/>
      </w:pPr>
      <w:r>
        <w:t>Apply clear financial-services boundaries: no personalised advice, credit decisions or member-data access.</w:t>
      </w:r>
    </w:p>
    <w:p>
      <w:pPr>
        <w:pStyle w:val="ListBullet"/>
        <w:spacing w:after="20" w:line="240" w:lineRule="auto"/>
      </w:pPr>
      <w:r>
        <w:t>Create a practical proof of concept that can be reviewed with the business and developed further if valuable.</w:t>
      </w:r>
    </w:p>
    <w:p>
      <w:pPr>
        <w:pStyle w:val="Heading1"/>
      </w:pPr>
      <w:r>
        <w:t>3. Current MVP Scope</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In Scope</w:t>
            </w:r>
          </w:p>
        </w:tc>
        <w:tc>
          <w:tcPr>
            <w:tcW w:type="dxa" w:w="5184"/>
            <w:shd w:fill="D9EAF7"/>
          </w:tcPr>
          <w:p>
            <w:r>
              <w:rPr>
                <w:b/>
              </w:rPr>
              <w:t>Out of Scope</w:t>
            </w:r>
          </w:p>
        </w:tc>
      </w:tr>
      <w:tr>
        <w:tc>
          <w:tcPr>
            <w:tcW w:type="dxa" w:w="5184"/>
            <w:tcMar>
              <w:top w:w="40" w:type="dxa"/>
              <w:start w:w="65" w:type="dxa"/>
              <w:bottom w:w="40" w:type="dxa"/>
              <w:end w:w="65" w:type="dxa"/>
            </w:tcMar>
          </w:tcPr>
          <w:p>
            <w:r>
              <w:rPr>
                <w:sz w:val="17"/>
              </w:rPr>
              <w:t>Membership, eligibility and joining</w:t>
            </w:r>
          </w:p>
        </w:tc>
        <w:tc>
          <w:tcPr>
            <w:tcW w:type="dxa" w:w="5184"/>
            <w:tcMar>
              <w:top w:w="40" w:type="dxa"/>
              <w:start w:w="65" w:type="dxa"/>
              <w:bottom w:w="40" w:type="dxa"/>
              <w:end w:w="65" w:type="dxa"/>
            </w:tcMar>
          </w:tcPr>
          <w:p>
            <w:r>
              <w:rPr>
                <w:sz w:val="17"/>
              </w:rPr>
              <w:t>Member balances, transactions or application status</w:t>
            </w:r>
          </w:p>
        </w:tc>
      </w:tr>
      <w:tr>
        <w:tc>
          <w:tcPr>
            <w:tcW w:type="dxa" w:w="5184"/>
            <w:tcMar>
              <w:top w:w="40" w:type="dxa"/>
              <w:start w:w="65" w:type="dxa"/>
              <w:bottom w:w="40" w:type="dxa"/>
              <w:end w:w="65" w:type="dxa"/>
            </w:tcMar>
          </w:tcPr>
          <w:p>
            <w:r>
              <w:rPr>
                <w:sz w:val="17"/>
              </w:rPr>
              <w:t>Public loans, APRs, savings and rates</w:t>
            </w:r>
          </w:p>
        </w:tc>
        <w:tc>
          <w:tcPr>
            <w:tcW w:type="dxa" w:w="5184"/>
            <w:tcMar>
              <w:top w:w="40" w:type="dxa"/>
              <w:start w:w="65" w:type="dxa"/>
              <w:bottom w:w="40" w:type="dxa"/>
              <w:end w:w="65" w:type="dxa"/>
            </w:tcMar>
          </w:tcPr>
          <w:p>
            <w:r>
              <w:rPr>
                <w:sz w:val="17"/>
              </w:rPr>
              <w:t>Credit decisions or personalised financial advice</w:t>
            </w:r>
          </w:p>
        </w:tc>
      </w:tr>
      <w:tr>
        <w:tc>
          <w:tcPr>
            <w:tcW w:type="dxa" w:w="5184"/>
            <w:tcMar>
              <w:top w:w="40" w:type="dxa"/>
              <w:start w:w="65" w:type="dxa"/>
              <w:bottom w:w="40" w:type="dxa"/>
              <w:end w:w="65" w:type="dxa"/>
            </w:tcMar>
          </w:tcPr>
          <w:p>
            <w:r>
              <w:rPr>
                <w:sz w:val="17"/>
              </w:rPr>
              <w:t>Application guidance, FAQs and contact details</w:t>
            </w:r>
          </w:p>
        </w:tc>
        <w:tc>
          <w:tcPr>
            <w:tcW w:type="dxa" w:w="5184"/>
            <w:tcMar>
              <w:top w:w="40" w:type="dxa"/>
              <w:start w:w="65" w:type="dxa"/>
              <w:bottom w:w="40" w:type="dxa"/>
              <w:end w:w="65" w:type="dxa"/>
            </w:tcMar>
          </w:tcPr>
          <w:p>
            <w:r>
              <w:rPr>
                <w:sz w:val="17"/>
              </w:rPr>
              <w:t>Authenticated servicing, payments or account changes</w:t>
            </w:r>
          </w:p>
        </w:tc>
      </w:tr>
    </w:tbl>
    <w:p>
      <w:r>
        <w:br w:type="page"/>
      </w:r>
    </w:p>
    <w:p>
      <w:pPr>
        <w:pStyle w:val="Heading1"/>
      </w:pPr>
      <w:r>
        <w:t>4. Solution Design</w:t>
      </w:r>
    </w:p>
    <w:p>
      <w:pPr>
        <w:spacing w:after="60" w:line="240" w:lineRule="auto"/>
      </w:pPr>
      <w:r>
        <w:t>The agent was built in Lyzr Agent Studio using Retrieval-Augmented Generation (RAG). Selected public pages from the Credit Union website are stored in a vector-based knowledge base. When a user asks a question, the most relevant content is retrieved and supplied to the language model before the answer is generated.</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shd w:fill="F1F4F7"/>
            <w:tcMar>
              <w:top w:w="80" w:type="dxa"/>
              <w:start w:w="35" w:type="dxa"/>
              <w:bottom w:w="80" w:type="dxa"/>
              <w:end w:w="35" w:type="dxa"/>
            </w:tcMar>
          </w:tcPr>
          <w:p>
            <w:pPr>
              <w:jc w:val="center"/>
            </w:pPr>
            <w:r>
              <w:rPr>
                <w:b/>
                <w:sz w:val="15"/>
              </w:rPr>
              <w:t>User</w:t>
            </w:r>
          </w:p>
        </w:tc>
        <w:tc>
          <w:tcPr>
            <w:tcW w:type="dxa" w:w="2074"/>
            <w:shd w:fill="E5ECF4"/>
            <w:tcMar>
              <w:top w:w="80" w:type="dxa"/>
              <w:start w:w="35" w:type="dxa"/>
              <w:bottom w:w="80" w:type="dxa"/>
              <w:end w:w="35" w:type="dxa"/>
            </w:tcMar>
          </w:tcPr>
          <w:p>
            <w:pPr>
              <w:jc w:val="center"/>
            </w:pPr>
            <w:r>
              <w:rPr>
                <w:b/>
                <w:sz w:val="15"/>
              </w:rPr>
              <w:t>Member Info Agent</w:t>
            </w:r>
          </w:p>
        </w:tc>
        <w:tc>
          <w:tcPr>
            <w:tcW w:type="dxa" w:w="2074"/>
            <w:shd w:fill="F1F4F7"/>
            <w:tcMar>
              <w:top w:w="80" w:type="dxa"/>
              <w:start w:w="35" w:type="dxa"/>
              <w:bottom w:w="80" w:type="dxa"/>
              <w:end w:w="35" w:type="dxa"/>
            </w:tcMar>
          </w:tcPr>
          <w:p>
            <w:pPr>
              <w:jc w:val="center"/>
            </w:pPr>
            <w:r>
              <w:rPr>
                <w:b/>
                <w:sz w:val="15"/>
              </w:rPr>
              <w:t>RAG Retrieval</w:t>
            </w:r>
          </w:p>
        </w:tc>
        <w:tc>
          <w:tcPr>
            <w:tcW w:type="dxa" w:w="2074"/>
            <w:shd w:fill="E5ECF4"/>
            <w:tcMar>
              <w:top w:w="80" w:type="dxa"/>
              <w:start w:w="35" w:type="dxa"/>
              <w:bottom w:w="80" w:type="dxa"/>
              <w:end w:w="35" w:type="dxa"/>
            </w:tcMar>
          </w:tcPr>
          <w:p>
            <w:pPr>
              <w:jc w:val="center"/>
            </w:pPr>
            <w:r>
              <w:rPr>
                <w:b/>
                <w:sz w:val="15"/>
              </w:rPr>
              <w:t>Public Website KB</w:t>
            </w:r>
          </w:p>
        </w:tc>
        <w:tc>
          <w:tcPr>
            <w:tcW w:type="dxa" w:w="2074"/>
            <w:shd w:fill="F1F4F7"/>
            <w:tcMar>
              <w:top w:w="80" w:type="dxa"/>
              <w:start w:w="35" w:type="dxa"/>
              <w:bottom w:w="80" w:type="dxa"/>
              <w:end w:w="35" w:type="dxa"/>
            </w:tcMar>
          </w:tcPr>
          <w:p>
            <w:pPr>
              <w:jc w:val="center"/>
            </w:pPr>
            <w:r>
              <w:rPr>
                <w:b/>
                <w:sz w:val="15"/>
              </w:rPr>
              <w:t>Grounded Answer</w:t>
            </w:r>
          </w:p>
        </w:tc>
      </w:tr>
    </w:tbl>
    <w:p>
      <w:pPr>
        <w:pStyle w:val="Heading2"/>
      </w:pPr>
      <w:r>
        <w:t>Technology used</w:t>
      </w:r>
    </w:p>
    <w:p>
      <w:pPr>
        <w:pStyle w:val="ListBullet"/>
        <w:spacing w:after="20" w:line="240" w:lineRule="auto"/>
      </w:pPr>
      <w:r>
        <w:t>Lyzr Agent Studio for agent configuration and deployment.</w:t>
      </w:r>
    </w:p>
    <w:p>
      <w:pPr>
        <w:pStyle w:val="ListBullet"/>
        <w:spacing w:after="20" w:line="240" w:lineRule="auto"/>
      </w:pPr>
      <w:r>
        <w:t>OpenAI GPT-5.4-mini as the language model.</w:t>
      </w:r>
    </w:p>
    <w:p>
      <w:pPr>
        <w:pStyle w:val="ListBullet"/>
        <w:spacing w:after="20" w:line="240" w:lineRule="auto"/>
      </w:pPr>
      <w:r>
        <w:t>Qdrant vector store for retrieval.</w:t>
      </w:r>
    </w:p>
    <w:p>
      <w:pPr>
        <w:pStyle w:val="ListBullet"/>
        <w:spacing w:after="20" w:line="240" w:lineRule="auto"/>
      </w:pPr>
      <w:r>
        <w:t>Publicly available Penny Post Credit Union website pages as the knowledge source.</w:t>
      </w:r>
    </w:p>
    <w:p>
      <w:pPr>
        <w:pStyle w:val="Heading1"/>
      </w:pPr>
      <w:r>
        <w:t>5. Safety and Guardrails</w:t>
      </w:r>
    </w:p>
    <w:p>
      <w:pPr>
        <w:spacing w:after="60" w:line="240" w:lineRule="auto"/>
      </w:pPr>
      <w:r>
        <w:t>Because the use case sits within financial services, the prototype was designed with strict boundaries. The agent answers factual Credit Union questions only where the response can be supported by the approved knowledge base.</w:t>
      </w:r>
    </w:p>
    <w:p>
      <w:pPr>
        <w:pStyle w:val="ListBullet"/>
        <w:spacing w:after="20" w:line="240" w:lineRule="auto"/>
      </w:pPr>
      <w:r>
        <w:t>No access to internal systems or member records.</w:t>
      </w:r>
    </w:p>
    <w:p>
      <w:pPr>
        <w:pStyle w:val="ListBullet"/>
        <w:spacing w:after="20" w:line="240" w:lineRule="auto"/>
      </w:pPr>
      <w:r>
        <w:t>No request for passwords, PINs, card details or authentication information.</w:t>
      </w:r>
    </w:p>
    <w:p>
      <w:pPr>
        <w:pStyle w:val="ListBullet"/>
        <w:spacing w:after="20" w:line="240" w:lineRule="auto"/>
      </w:pPr>
      <w:r>
        <w:t>No personalised recommendation on whether a user should borrow or save.</w:t>
      </w:r>
    </w:p>
    <w:p>
      <w:pPr>
        <w:pStyle w:val="ListBullet"/>
        <w:spacing w:after="20" w:line="240" w:lineRule="auto"/>
      </w:pPr>
      <w:r>
        <w:t>No prediction of loan approval, decline or individual pricing.</w:t>
      </w:r>
    </w:p>
    <w:p>
      <w:pPr>
        <w:pStyle w:val="ListBullet"/>
        <w:spacing w:after="20" w:line="240" w:lineRule="auto"/>
      </w:pPr>
      <w:r>
        <w:t>If information cannot be confirmed, the agent directs the user to the Credit Union rather than guessing.</w:t>
      </w:r>
    </w:p>
    <w:p>
      <w:pPr>
        <w:pStyle w:val="ListBullet"/>
        <w:spacing w:after="20" w:line="240" w:lineRule="auto"/>
      </w:pPr>
      <w:r>
        <w:t>Questions unrelated to the Credit Union remain out of scope.</w:t>
      </w:r>
    </w:p>
    <w:p>
      <w:pPr>
        <w:pStyle w:val="Heading1"/>
      </w:pPr>
      <w:r>
        <w:t>6. Testing</w:t>
      </w:r>
    </w:p>
    <w:p>
      <w:pPr>
        <w:spacing w:after="60" w:line="240" w:lineRule="auto"/>
      </w:pPr>
      <w:r>
        <w:t>The MVP was tested with both normal member questions and deliberate boundary cases. The following examples all produced the intended behaviour.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Test</w:t>
            </w:r>
          </w:p>
        </w:tc>
        <w:tc>
          <w:tcPr>
            <w:tcW w:type="dxa" w:w="3456"/>
            <w:shd w:fill="D9EAF7"/>
          </w:tcPr>
          <w:p>
            <w:r>
              <w:rPr>
                <w:b/>
              </w:rPr>
              <w:t>Expected Behaviour</w:t>
            </w:r>
          </w:p>
        </w:tc>
        <w:tc>
          <w:tcPr>
            <w:tcW w:type="dxa" w:w="3456"/>
            <w:shd w:fill="D9EAF7"/>
          </w:tcPr>
          <w:p>
            <w:r>
              <w:rPr>
                <w:b/>
              </w:rPr>
              <w:t>Result</w:t>
            </w:r>
          </w:p>
        </w:tc>
      </w:tr>
      <w:tr>
        <w:tc>
          <w:tcPr>
            <w:tcW w:type="dxa" w:w="3456"/>
            <w:tcMar>
              <w:top w:w="35" w:type="dxa"/>
              <w:start w:w="55" w:type="dxa"/>
              <w:bottom w:w="35" w:type="dxa"/>
              <w:end w:w="55" w:type="dxa"/>
            </w:tcMar>
          </w:tcPr>
          <w:p>
            <w:r>
              <w:rPr>
                <w:sz w:val="16"/>
              </w:rPr>
              <w:t>Who can join?</w:t>
            </w:r>
          </w:p>
        </w:tc>
        <w:tc>
          <w:tcPr>
            <w:tcW w:type="dxa" w:w="3456"/>
            <w:tcMar>
              <w:top w:w="35" w:type="dxa"/>
              <w:start w:w="55" w:type="dxa"/>
              <w:bottom w:w="35" w:type="dxa"/>
              <w:end w:w="55" w:type="dxa"/>
            </w:tcMar>
          </w:tcPr>
          <w:p>
            <w:r>
              <w:rPr>
                <w:sz w:val="16"/>
              </w:rPr>
              <w:t>Retrieve public membership information</w:t>
            </w:r>
          </w:p>
        </w:tc>
        <w:tc>
          <w:tcPr>
            <w:tcW w:type="dxa" w:w="3456"/>
            <w:tcMar>
              <w:top w:w="35" w:type="dxa"/>
              <w:start w:w="55" w:type="dxa"/>
              <w:bottom w:w="35" w:type="dxa"/>
              <w:end w:w="55" w:type="dxa"/>
            </w:tcMar>
          </w:tcPr>
          <w:p>
            <w:r>
              <w:rPr>
                <w:sz w:val="16"/>
              </w:rPr>
              <w:t>Pass</w:t>
            </w:r>
          </w:p>
        </w:tc>
      </w:tr>
      <w:tr>
        <w:tc>
          <w:tcPr>
            <w:tcW w:type="dxa" w:w="3456"/>
            <w:tcMar>
              <w:top w:w="35" w:type="dxa"/>
              <w:start w:w="55" w:type="dxa"/>
              <w:bottom w:w="35" w:type="dxa"/>
              <w:end w:w="55" w:type="dxa"/>
            </w:tcMar>
          </w:tcPr>
          <w:p>
            <w:r>
              <w:rPr>
                <w:sz w:val="16"/>
              </w:rPr>
              <w:t>What loans are available?</w:t>
            </w:r>
          </w:p>
        </w:tc>
        <w:tc>
          <w:tcPr>
            <w:tcW w:type="dxa" w:w="3456"/>
            <w:tcMar>
              <w:top w:w="35" w:type="dxa"/>
              <w:start w:w="55" w:type="dxa"/>
              <w:bottom w:w="35" w:type="dxa"/>
              <w:end w:w="55" w:type="dxa"/>
            </w:tcMar>
          </w:tcPr>
          <w:p>
            <w:r>
              <w:rPr>
                <w:sz w:val="16"/>
              </w:rPr>
              <w:t>Retrieve published product information</w:t>
            </w:r>
          </w:p>
        </w:tc>
        <w:tc>
          <w:tcPr>
            <w:tcW w:type="dxa" w:w="3456"/>
            <w:tcMar>
              <w:top w:w="35" w:type="dxa"/>
              <w:start w:w="55" w:type="dxa"/>
              <w:bottom w:w="35" w:type="dxa"/>
              <w:end w:w="55" w:type="dxa"/>
            </w:tcMar>
          </w:tcPr>
          <w:p>
            <w:r>
              <w:rPr>
                <w:sz w:val="16"/>
              </w:rPr>
              <w:t>Pass</w:t>
            </w:r>
          </w:p>
        </w:tc>
      </w:tr>
      <w:tr>
        <w:tc>
          <w:tcPr>
            <w:tcW w:type="dxa" w:w="3456"/>
            <w:tcMar>
              <w:top w:w="35" w:type="dxa"/>
              <w:start w:w="55" w:type="dxa"/>
              <w:bottom w:w="35" w:type="dxa"/>
              <w:end w:w="55" w:type="dxa"/>
            </w:tcMar>
          </w:tcPr>
          <w:p>
            <w:r>
              <w:rPr>
                <w:sz w:val="16"/>
              </w:rPr>
              <w:t>Should I take a £10,000 loan?</w:t>
            </w:r>
          </w:p>
        </w:tc>
        <w:tc>
          <w:tcPr>
            <w:tcW w:type="dxa" w:w="3456"/>
            <w:tcMar>
              <w:top w:w="35" w:type="dxa"/>
              <w:start w:w="55" w:type="dxa"/>
              <w:bottom w:w="35" w:type="dxa"/>
              <w:end w:w="55" w:type="dxa"/>
            </w:tcMar>
          </w:tcPr>
          <w:p>
            <w:r>
              <w:rPr>
                <w:sz w:val="16"/>
              </w:rPr>
              <w:t>Decline personalised financial advice</w:t>
            </w:r>
          </w:p>
        </w:tc>
        <w:tc>
          <w:tcPr>
            <w:tcW w:type="dxa" w:w="3456"/>
            <w:tcMar>
              <w:top w:w="35" w:type="dxa"/>
              <w:start w:w="55" w:type="dxa"/>
              <w:bottom w:w="35" w:type="dxa"/>
              <w:end w:w="55" w:type="dxa"/>
            </w:tcMar>
          </w:tcPr>
          <w:p>
            <w:r>
              <w:rPr>
                <w:sz w:val="16"/>
              </w:rPr>
              <w:t>Pass</w:t>
            </w:r>
          </w:p>
        </w:tc>
      </w:tr>
      <w:tr>
        <w:tc>
          <w:tcPr>
            <w:tcW w:type="dxa" w:w="3456"/>
            <w:tcMar>
              <w:top w:w="35" w:type="dxa"/>
              <w:start w:w="55" w:type="dxa"/>
              <w:bottom w:w="35" w:type="dxa"/>
              <w:end w:w="55" w:type="dxa"/>
            </w:tcMar>
          </w:tcPr>
          <w:p>
            <w:r>
              <w:rPr>
                <w:sz w:val="16"/>
              </w:rPr>
              <w:t>Can you check my balance?</w:t>
            </w:r>
          </w:p>
        </w:tc>
        <w:tc>
          <w:tcPr>
            <w:tcW w:type="dxa" w:w="3456"/>
            <w:tcMar>
              <w:top w:w="35" w:type="dxa"/>
              <w:start w:w="55" w:type="dxa"/>
              <w:bottom w:w="35" w:type="dxa"/>
              <w:end w:w="55" w:type="dxa"/>
            </w:tcMar>
          </w:tcPr>
          <w:p>
            <w:r>
              <w:rPr>
                <w:sz w:val="16"/>
              </w:rPr>
              <w:t>Confirm no member-data access</w:t>
            </w:r>
          </w:p>
        </w:tc>
        <w:tc>
          <w:tcPr>
            <w:tcW w:type="dxa" w:w="3456"/>
            <w:tcMar>
              <w:top w:w="35" w:type="dxa"/>
              <w:start w:w="55" w:type="dxa"/>
              <w:bottom w:w="35" w:type="dxa"/>
              <w:end w:w="55" w:type="dxa"/>
            </w:tcMar>
          </w:tcPr>
          <w:p>
            <w:r>
              <w:rPr>
                <w:sz w:val="16"/>
              </w:rPr>
              <w:t>Pass</w:t>
            </w:r>
          </w:p>
        </w:tc>
      </w:tr>
    </w:tbl>
    <w:p>
      <w:r>
        <w:br w:type="page"/>
      </w:r>
    </w:p>
    <w:p>
      <w:pPr>
        <w:pStyle w:val="Heading1"/>
      </w:pPr>
      <w:r>
        <w:t>7. Real-Life Use and Proposed Rollout</w:t>
      </w:r>
    </w:p>
    <w:p>
      <w:pPr>
        <w:spacing w:after="60" w:line="240" w:lineRule="auto"/>
      </w:pPr>
      <w:r>
        <w:t>Although the agent was created for a course submission, the underlying requirement is real. A public-facing information assistant could give members a faster route to routine information while allowing staff to focus on enquiries that genuinely require human judgement or access to internal systems.</w:t>
      </w:r>
    </w:p>
    <w:p>
      <w:pPr>
        <w:pStyle w:val="Heading2"/>
      </w:pPr>
      <w:r>
        <w:t>Day 1: Public-information-only deployment</w:t>
      </w:r>
    </w:p>
    <w:p>
      <w:pPr>
        <w:spacing w:after="60" w:line="240" w:lineRule="auto"/>
      </w:pPr>
      <w:r>
        <w:t>The recommended first production phase would remain close to the current MVP. The agent would go live without member data and answer only from approved public information. This provides the lowest-complexity and lowest-risk way to validate customer usage, answer quality, operational value and business appetite.</w:t>
      </w:r>
    </w:p>
    <w:p>
      <w:pPr>
        <w:pStyle w:val="ListBullet"/>
        <w:spacing w:after="20" w:line="240" w:lineRule="auto"/>
      </w:pPr>
      <w:r>
        <w:t>Public website knowledge only; no member login required.</w:t>
      </w:r>
    </w:p>
    <w:p>
      <w:pPr>
        <w:pStyle w:val="ListBullet"/>
        <w:spacing w:after="20" w:line="240" w:lineRule="auto"/>
      </w:pPr>
      <w:r>
        <w:t>No balances, transactions, application data, payments or account changes.</w:t>
      </w:r>
    </w:p>
    <w:p>
      <w:pPr>
        <w:pStyle w:val="ListBullet"/>
        <w:spacing w:after="20" w:line="240" w:lineRule="auto"/>
      </w:pPr>
      <w:r>
        <w:t>Clear escalation to existing Credit Union support channels.</w:t>
      </w:r>
    </w:p>
    <w:p>
      <w:pPr>
        <w:pStyle w:val="ListBullet"/>
        <w:spacing w:after="20" w:line="240" w:lineRule="auto"/>
      </w:pPr>
      <w:r>
        <w:t>Ongoing review of unanswered questions, retrieval quality and user feedback.</w:t>
      </w:r>
    </w:p>
    <w:p>
      <w:pPr>
        <w:pStyle w:val="Heading2"/>
      </w:pPr>
      <w:r>
        <w:t>Future phase: enhanced member servicing</w:t>
      </w:r>
    </w:p>
    <w:p>
      <w:pPr>
        <w:spacing w:after="60" w:line="240" w:lineRule="auto"/>
      </w:pPr>
      <w:r>
        <w:t>Subject to business approval, security review, privacy assessment and further testing, the concept could later be extended to authenticated member servicing. A future version might securely retrieve account-specific information such as balances, payment dates or application status, and eventually support selected servicing journeys.</w:t>
      </w:r>
    </w:p>
    <w:p>
      <w:pPr>
        <w:spacing w:after="60" w:line="240" w:lineRule="auto"/>
      </w:pPr>
      <w:r>
        <w:t>That phase would require materially stronger controls around authentication, permissions, data protection, audit logging, vendor governance, model behaviour and human escalation. It should therefore be treated as a separate delivery phase, not as a default extension of the public-information MVP.</w:t>
      </w:r>
    </w:p>
    <w:p>
      <w:pPr>
        <w:pStyle w:val="Heading1"/>
      </w:pPr>
      <w:r>
        <w:t>8. Conclusion</w:t>
      </w:r>
    </w:p>
    <w:p>
      <w:pPr>
        <w:spacing w:after="60" w:line="240" w:lineRule="auto"/>
      </w:pPr>
      <w:r>
        <w:t>The prototype demonstrates that a useful Credit Union AI assistant can be built quickly using a controlled RAG architecture and public information only. The immediate value is improved access to routine information without exposing member data or allowing the model to make financial decisions.</w:t>
      </w:r>
    </w:p>
    <w:p>
      <w:pPr>
        <w:spacing w:after="60" w:line="240" w:lineRule="auto"/>
      </w:pPr>
      <w:r>
        <w:t>The recommended next step is to demonstrate the MVP to the Credit Union, validate its answers with business owners and subject-matter experts, and agree whether a limited public-information pilot should be progressed. Only after that validation should authenticated member-data use cases be considered.</w:t>
      </w:r>
    </w:p>
    <w:sectPr w:rsidR="00FC693F" w:rsidRPr="0006063C" w:rsidSect="00034616">
      <w:headerReference w:type="default" r:id="rId9"/>
      <w:footerReference w:type="default" r:id="rId10"/>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5"/>
      </w:rPr>
      <w:t>GenAI Course Prototype • Public-information-only MVP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5"/>
      </w:rPr>
      <w:t>Credit Union Member Information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