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{{row.khandwaMin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443F0216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</w:t>
      </w:r>
      <w:r w:rsidR="002C4E5B">
        <w:t xml:space="preserve">   </w:t>
      </w:r>
      <w:r w:rsidRPr="009A3980">
        <w:t xml:space="preserve">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314C6220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</w:t>
      </w:r>
      <w:r w:rsidR="002C4E5B">
        <w:rPr>
          <w:rFonts w:eastAsia="Times New Roman"/>
          <w:b/>
          <w:bCs/>
          <w:color w:val="000000"/>
          <w:sz w:val="16"/>
          <w:szCs w:val="16"/>
          <w:lang w:eastAsia="en-IN"/>
        </w:rPr>
        <w:tab/>
        <w:t xml:space="preserve">         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2"/>
        <w:gridCol w:w="878"/>
        <w:gridCol w:w="341"/>
        <w:gridCol w:w="1186"/>
        <w:gridCol w:w="646"/>
        <w:gridCol w:w="664"/>
        <w:gridCol w:w="251"/>
        <w:gridCol w:w="1031"/>
        <w:gridCol w:w="285"/>
        <w:gridCol w:w="433"/>
        <w:gridCol w:w="755"/>
        <w:gridCol w:w="132"/>
        <w:gridCol w:w="727"/>
        <w:gridCol w:w="675"/>
        <w:gridCol w:w="233"/>
        <w:gridCol w:w="1139"/>
        <w:gridCol w:w="1070"/>
      </w:tblGrid>
      <w:tr w:rsidR="00994B9B" w:rsidRPr="00200B3C" w14:paraId="32627433" w14:textId="77777777" w:rsidTr="00681F9A">
        <w:trPr>
          <w:trHeight w:val="919"/>
        </w:trPr>
        <w:tc>
          <w:tcPr>
            <w:tcW w:w="970" w:type="pct"/>
            <w:gridSpan w:val="2"/>
          </w:tcPr>
          <w:p w14:paraId="5E8EBC4A" w14:textId="77777777" w:rsidR="002C4E5B" w:rsidRPr="002C4E5B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r w:rsidRPr="002C4E5B">
              <w:rPr>
                <w:rFonts w:ascii="Nirmala UI" w:hAnsi="Nirmala UI" w:cs="Nirmala UI"/>
                <w:b/>
                <w:bCs/>
                <w:szCs w:val="22"/>
              </w:rPr>
              <w:t>अनु</w:t>
            </w:r>
            <w:r w:rsidRPr="002C4E5B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r w:rsidRPr="002C4E5B">
              <w:rPr>
                <w:rFonts w:ascii="Nirmala UI" w:hAnsi="Nirmala UI" w:cs="Nirmala UI"/>
                <w:b/>
                <w:bCs/>
                <w:szCs w:val="22"/>
              </w:rPr>
              <w:t>क्रमांक</w:t>
            </w:r>
          </w:p>
          <w:p w14:paraId="767C3D6A" w14:textId="24DA4EC8" w:rsidR="00994B9B" w:rsidRPr="005F63E7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2C4E5B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970" w:type="pct"/>
            <w:gridSpan w:val="3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357" w:type="pct"/>
            <w:gridSpan w:val="2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392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612" w:type="pct"/>
            <w:gridSpan w:val="3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663" w:type="pct"/>
            <w:gridSpan w:val="4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037" w:type="pct"/>
            <w:gridSpan w:val="2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94B9B" w:rsidRPr="00200B3C" w14:paraId="13FBD039" w14:textId="77777777" w:rsidTr="00681F9A">
        <w:trPr>
          <w:trHeight w:val="141"/>
        </w:trPr>
        <w:tc>
          <w:tcPr>
            <w:tcW w:w="970" w:type="pct"/>
            <w:gridSpan w:val="2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70" w:type="pct"/>
            <w:gridSpan w:val="3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57" w:type="pct"/>
            <w:gridSpan w:val="2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92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71" w:type="pct"/>
            <w:gridSpan w:val="2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22" w:type="pct"/>
            <w:gridSpan w:val="2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  <w:gridSpan w:val="2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37" w:type="pct"/>
            <w:gridSpan w:val="2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994B9B" w:rsidRPr="003567D7" w14:paraId="4657A6F3" w14:textId="77777777" w:rsidTr="00681F9A">
        <w:trPr>
          <w:trHeight w:val="300"/>
        </w:trPr>
        <w:tc>
          <w:tcPr>
            <w:tcW w:w="5000" w:type="pct"/>
            <w:gridSpan w:val="17"/>
          </w:tcPr>
          <w:p w14:paraId="3754AC02" w14:textId="36379D3C" w:rsidR="00994B9B" w:rsidRPr="003567D7" w:rsidRDefault="00994B9B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994B9B" w:rsidRPr="003567D7" w14:paraId="26F59464" w14:textId="77777777" w:rsidTr="00952FDA">
        <w:trPr>
          <w:trHeight w:val="300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48021164" w14:textId="3A17E31C" w:rsidR="00994B9B" w:rsidRPr="00994B9B" w:rsidRDefault="00994B9B" w:rsidP="00994B9B">
            <w:pPr>
              <w:pStyle w:val="ListParagraph"/>
              <w:numPr>
                <w:ilvl w:val="0"/>
                <w:numId w:val="42"/>
              </w:numPr>
              <w:ind w:right="-123"/>
              <w:rPr>
                <w:rFonts w:eastAsia="Times New Roman"/>
                <w:sz w:val="19"/>
                <w:szCs w:val="19"/>
              </w:rPr>
            </w:pPr>
            <w:r w:rsidRPr="00994B9B">
              <w:rPr>
                <w:rFonts w:eastAsia="Times New Roman"/>
                <w:sz w:val="19"/>
                <w:szCs w:val="19"/>
              </w:rPr>
              <w:t xml:space="preserve"> </w:t>
            </w:r>
          </w:p>
          <w:p w14:paraId="578F1E02" w14:textId="49F7F1BF" w:rsidR="00994B9B" w:rsidRDefault="00994B9B" w:rsidP="000355B3">
            <w:pPr>
              <w:ind w:left="34" w:right="-123"/>
              <w:rPr>
                <w:sz w:val="19"/>
                <w:szCs w:val="19"/>
              </w:rPr>
            </w:pPr>
          </w:p>
        </w:tc>
        <w:tc>
          <w:tcPr>
            <w:tcW w:w="556" w:type="pct"/>
            <w:gridSpan w:val="2"/>
            <w:tcBorders>
              <w:bottom w:val="single" w:sz="4" w:space="0" w:color="auto"/>
            </w:tcBorders>
            <w:noWrap/>
          </w:tcPr>
          <w:p w14:paraId="2BAC8EBF" w14:textId="749A1E73" w:rsidR="00994B9B" w:rsidRPr="001857FE" w:rsidRDefault="00994B9B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</w:t>
            </w:r>
            <w:bookmarkStart w:id="6" w:name="_GoBack"/>
            <w:bookmarkEnd w:id="6"/>
            <w:r>
              <w:rPr>
                <w:sz w:val="19"/>
                <w:szCs w:val="19"/>
              </w:rPr>
              <w:t>m.elName }}</w:t>
            </w:r>
          </w:p>
        </w:tc>
        <w:tc>
          <w:tcPr>
            <w:tcW w:w="556" w:type="pct"/>
            <w:noWrap/>
          </w:tcPr>
          <w:p w14:paraId="15ED0065" w14:textId="0B6AED2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4034CF59" w14:textId="20181F3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45036D10" w14:textId="03A6C8C4" w:rsidR="00994B9B" w:rsidRPr="003567D7" w:rsidRDefault="00994B9B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2F7BCF96" w14:textId="35EAA93C" w:rsidR="00994B9B" w:rsidRPr="003567D7" w:rsidRDefault="00994B9B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3BD77FFD" w14:textId="6D71FD08" w:rsidR="00994B9B" w:rsidRPr="00247409" w:rsidRDefault="00994B9B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2"/>
            <w:noWrap/>
          </w:tcPr>
          <w:p w14:paraId="5555E639" w14:textId="3405AC0A" w:rsidR="00994B9B" w:rsidRPr="00247409" w:rsidRDefault="00994B9B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5B6E0653" w14:textId="4ACC1563" w:rsidR="00994B9B" w:rsidRPr="003567D7" w:rsidRDefault="00994B9B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994B9B" w:rsidRPr="003567D7" w14:paraId="3E0A73E1" w14:textId="77777777" w:rsidTr="00681F9A">
        <w:trPr>
          <w:trHeight w:val="338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FC08C" w14:textId="287F12DC" w:rsidR="00994B9B" w:rsidRPr="006A6D63" w:rsidRDefault="00994B9B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508"/>
        <w:gridCol w:w="1962"/>
        <w:gridCol w:w="6269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2127"/>
        <w:gridCol w:w="1401"/>
        <w:gridCol w:w="1933"/>
        <w:gridCol w:w="1490"/>
        <w:gridCol w:w="1728"/>
        <w:gridCol w:w="1546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A193F" w14:textId="77777777" w:rsidR="00E6380E" w:rsidRDefault="00E6380E" w:rsidP="003D426D">
      <w:pPr>
        <w:spacing w:after="0" w:line="240" w:lineRule="auto"/>
      </w:pPr>
      <w:r>
        <w:separator/>
      </w:r>
    </w:p>
  </w:endnote>
  <w:endnote w:type="continuationSeparator" w:id="0">
    <w:p w14:paraId="542C6604" w14:textId="77777777" w:rsidR="00E6380E" w:rsidRDefault="00E6380E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B7A14" w14:textId="77777777" w:rsidR="00E6380E" w:rsidRDefault="00E6380E" w:rsidP="003D426D">
      <w:pPr>
        <w:spacing w:after="0" w:line="240" w:lineRule="auto"/>
      </w:pPr>
      <w:r>
        <w:separator/>
      </w:r>
    </w:p>
  </w:footnote>
  <w:footnote w:type="continuationSeparator" w:id="0">
    <w:p w14:paraId="17BA5C4C" w14:textId="77777777" w:rsidR="00E6380E" w:rsidRDefault="00E6380E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0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8"/>
  </w:num>
  <w:num w:numId="29">
    <w:abstractNumId w:val="11"/>
  </w:num>
  <w:num w:numId="30">
    <w:abstractNumId w:val="8"/>
  </w:num>
  <w:num w:numId="31">
    <w:abstractNumId w:val="1"/>
  </w:num>
  <w:num w:numId="32">
    <w:abstractNumId w:val="41"/>
  </w:num>
  <w:num w:numId="33">
    <w:abstractNumId w:val="12"/>
  </w:num>
  <w:num w:numId="34">
    <w:abstractNumId w:val="29"/>
  </w:num>
  <w:num w:numId="35">
    <w:abstractNumId w:val="40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 w:numId="42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38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4E5B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2FDA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80E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docId w15:val="{C6AFA35B-BAB2-4E60-8388-6B2BB811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556E-A480-4660-BA4E-FC4F0342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158</cp:revision>
  <cp:lastPrinted>2019-06-21T09:02:00Z</cp:lastPrinted>
  <dcterms:created xsi:type="dcterms:W3CDTF">2020-08-05T04:30:00Z</dcterms:created>
  <dcterms:modified xsi:type="dcterms:W3CDTF">2020-09-20T02:19:00Z</dcterms:modified>
</cp:coreProperties>
</file>