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PRICE SHOCK ANATOMY IN INDIAN EQUITIES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0C8E8"/>
                <w:sz w:val="20"/>
                <w:szCs w:val="20"/>
              </w:rPr>
              <w:t xml:space="preserve">Pre-Event Regimes · Intraday Structure · Post-Shock Momentum  |  Nifty 500, 2015–2026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40"/>
                <w:szCs w:val="40"/>
              </w:rPr>
              <w:t xml:space="preserve">68%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40"/>
                <w:szCs w:val="40"/>
              </w:rPr>
              <w:t xml:space="preserve">+47.2%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Annual 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40"/>
                <w:szCs w:val="40"/>
              </w:rPr>
              <w:t xml:space="preserve">91%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Positive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40"/>
                <w:szCs w:val="40"/>
              </w:rPr>
              <w:t xml:space="preserve">₹8.5L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Total PnL (11 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40"/>
                <w:szCs w:val="40"/>
              </w:rPr>
              <w:t xml:space="preserve">₹−2,000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Worst month ever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BACKGROUND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studied 10,378 single-day events where a Nifty 500 stock gained 7–10% in a single session (2015–2026, 366 tickers, ₹50,000/trade). The core question: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what conditions predict that the next day will also deliver a 3%+ gain?</w:t>
            </w:r>
          </w:p>
          <w:p>
            <w:pPr>
              <w:spacing w:after="0" w:before="100"/>
            </w:pP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KEY RESEARCH FINDINGS</w:t>
                  </w:r>
                </w:p>
              </w:tc>
            </w:tr>
          </w:tbl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Extreme moves reverse.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Stocks gaining 15%+ show 55.2% reversal by Day+5 vs 36.8% continuation. Bigger move = more mean reversion.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Waiting kills returns.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Buying after Day+1 confirmation converts a +1.0% avg trade into −2.17% for momentum stocks. Retail 'confirmation' = buying exhaustion.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CLV is the key signal.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Location Value &gt; 0.942 (top 6% of day range) lifts next-day target hit rate from 52.6% → 72.3% (+19.7pp).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Controlled moves continue.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ATR ratio &lt; 2.0 (move ≤ 2× normal volatility) adds another +6pp to win rate. Blow-offs reverse; measured moves sustain.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Dead Cat Bounce is a trap.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Stocks 50%+ below 52-week high average −0.23% over 5 days. The event type with the only negative expected return.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Volume shock = sell signal.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Events with 28× average volume show 47.6% Day+1 reversal. Climax volume exhausts demand, not creates it.</w:t>
            </w:r>
          </w:p>
          <w:p>
            <w:pPr>
              <w:spacing w:after="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Prior trend predicts reversal.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price_vs_ma20 is the strongest logistic regression predictor (coef −0.243). Overextended stocks reverse; compressed stocks continue.</w:t>
            </w:r>
          </w:p>
          <w:p>
            <w:pPr>
              <w:spacing w:after="0" w:before="100"/>
            </w:pP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8"/>
                      <w:szCs w:val="18"/>
                    </w:rPr>
                    <w:t xml:space="preserve">WHAT DOESN'T WORK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✕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B_MomentumRun stocks (pre_20d &gt; 5%): avg −2.17% if bought after confirmation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✕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D_DeadCat events (50% below 52w high): only event type with negative return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✕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Cluster 2 / Volume Shock (28× vol): 47.6% Day+1 reversal rate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✕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'Market must be up' filter: actually hurts the signal (−3.3pp)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✕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Waiting for Day+1 confirmation: flips loss rate above 50%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THE TRADING SIGNAL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Entry conditions (all 3 required):</w:t>
            </w: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000"/>
              <w:gridCol w:w="2880"/>
            </w:tblGrid>
            <w:tr>
              <w:tc>
                <w:tcPr>
                  <w:tcW w:type="dxa" w:w="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Day return 7–10%</w:t>
                  </w:r>
                </w:p>
              </w:tc>
              <w:tc>
                <w:tcPr>
                  <w:tcW w:type="dxa" w:w="28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Moderate move only — not extreme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CLV &gt; 0.942</w:t>
                  </w:r>
                </w:p>
              </w:tc>
              <w:tc>
                <w:tcPr>
                  <w:tcW w:type="dxa" w:w="28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Closed in top 6% of day's range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2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ATR ratio &lt; 2.0</w:t>
                  </w:r>
                </w:p>
              </w:tc>
              <w:tc>
                <w:tcPr>
                  <w:tcW w:type="dxa" w:w="28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Move ≤ 2× normal volatility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Execution:</w:t>
            </w: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680"/>
            </w:tblGrid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Entry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Buy at event day close</w:t>
                  </w:r>
                </w:p>
              </w:tc>
            </w:tr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₹50,000 per trade, max 3/day (highest CLV first)</w:t>
                  </w:r>
                </w:p>
              </w:tc>
            </w:tr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5C2E"/>
                      <w:sz w:val="18"/>
                      <w:szCs w:val="18"/>
                    </w:rPr>
                    <w:t xml:space="preserve">Gap ≥ +3%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8"/>
                      <w:szCs w:val="18"/>
                    </w:rPr>
                    <w:t xml:space="preserve">Sell at open immediately</w:t>
                  </w:r>
                </w:p>
              </w:tc>
            </w:tr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Gap 0–3%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Hold — limit sell at +3%, cancel by 2pm</w:t>
                  </w:r>
                </w:p>
              </w:tc>
            </w:tr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C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B0000"/>
                      <w:sz w:val="18"/>
                      <w:szCs w:val="18"/>
                    </w:rPr>
                    <w:t xml:space="preserve">Gap &lt; −2%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C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B0000"/>
                      <w:sz w:val="18"/>
                      <w:szCs w:val="18"/>
                    </w:rPr>
                    <w:t xml:space="preserve">Stop loss — sell at open</w:t>
                  </w:r>
                </w:p>
              </w:tc>
            </w:tr>
            <w:tr>
              <w:tc>
                <w:tcPr>
                  <w:tcW w:type="dxa" w:w="1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Skip if</w:t>
                  </w:r>
                </w:p>
              </w:tc>
              <w:tc>
                <w:tcPr>
                  <w:tcW w:type="dxa" w:w="368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8"/>
                      <w:szCs w:val="18"/>
                    </w:rPr>
                    <w:t xml:space="preserve">Nifty 50 fell &gt; 3% on event day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YEAR-BY-YEAR RESULTS (Nifty 500)</w:t>
                  </w:r>
                </w:p>
              </w:tc>
            </w:tr>
          </w:tbl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600"/>
              <w:gridCol w:w="800"/>
              <w:gridCol w:w="1240"/>
              <w:gridCol w:w="1240"/>
              <w:gridCol w:w="600"/>
            </w:tblGrid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Year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Win%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PnL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Nifty Ret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Regime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2015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29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72.4%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₹56,372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−4.1%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Bear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2016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B0000"/>
                      <w:sz w:val="16"/>
                      <w:szCs w:val="16"/>
                    </w:rPr>
                    <w:t xml:space="preserve">59.1%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₹30,373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+3.0%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Flat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2017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87.5%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₹31,179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+28.7%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2018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27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70.4%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₹57,589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−3.2%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Bear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2019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49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69.4%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₹1,02,923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+12.0%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2020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139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71.9%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₹2,65,458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14.9%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COVID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2021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69.0%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₹1,57,745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+24.1%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2022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41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63.4%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₹52,649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+4.3%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Flat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2023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84.6%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₹26,583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+19.8%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2024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33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72.7%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₹62,407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+8.8%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2025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21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B0000"/>
                      <w:sz w:val="16"/>
                      <w:szCs w:val="16"/>
                    </w:rPr>
                    <w:t xml:space="preserve">28.6%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₹8,033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−2.1%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Weak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2026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B0000"/>
                      <w:sz w:val="16"/>
                      <w:szCs w:val="16"/>
                    </w:rPr>
                    <w:t xml:space="preserve">25.0%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B0000"/>
                      <w:sz w:val="16"/>
                      <w:szCs w:val="16"/>
                    </w:rPr>
                    <w:t xml:space="preserve">₹−824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YTD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Weak</w:t>
                  </w:r>
                </w:p>
              </w:tc>
            </w:tr>
            <w:tr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TOTAL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482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68.0%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5C2E"/>
                      <w:sz w:val="16"/>
                      <w:szCs w:val="16"/>
                    </w:rPr>
                    <w:t xml:space="preserve">₹8,50,487</w:t>
                  </w:r>
                </w:p>
              </w:tc>
              <w:tc>
                <w:tcPr>
                  <w:tcW w:type="dxa" w:w="124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6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04040"/>
                      <w:sz w:val="16"/>
                      <w:szCs w:val="16"/>
                    </w:rPr>
                    <w:t xml:space="preserve">—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04040"/>
                      <w:sz w:val="18"/>
                      <w:szCs w:val="18"/>
                    </w:rPr>
                    <w:t xml:space="preserve">LIMITATIONS</w:t>
                  </w:r>
                </w:p>
              </w:tc>
            </w:tr>
          </w:tbl>
          <w:p>
            <w:pPr>
              <w:spacing w:after="0" w:before="36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transaction costs modelled (~0.3–0.5% round trip)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Approximate Nifty 500 constituent list (survivorship bias possible)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2025–2026 signal weakness not yet explained (regime change?)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earnings data — verified EPS surprise could improve signal further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Data: Yahoo Finance  |  Nifty 500  |  2015-2026  |  For research purposes only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2026-06-14T17:04:21.144Z</dcterms:created>
  <dcterms:modified xsi:type="dcterms:W3CDTF">2026-06-14T17:04:21.157Z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