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Harborline Traders Ltd renewal</w:t>
      </w:r>
    </w:p>
    <w:p>
      <w:r>
        <w:t>Broker Acme Marine Ltd TIV 6500000 steel</w:t>
      </w:r>
    </w:p>
    <w:p>
      <w:r>
        <w:t>Insured trades as a general warehousing and distribution group from three scheduled sites, all sprinklered with maintained alarm systems.</w:t>
      </w:r>
    </w:p>
    <w:p>
      <w:r>
        <w:t>Warehouse at 12 Port Road is sprinklered. Two further sites at 44 Quay Street and 7 Dockside carry limits of $4,500,000 and $1,200,000.</w:t>
      </w:r>
    </w:p>
    <w:p>
      <w:r>
        <w:t>Commodity is steel machinery parts packed in export cases.</w:t>
      </w:r>
    </w:p>
    <w:p>
      <w:r>
        <w:t>Cover sought is All Risk including storage and transit, valuation CIF+10%, twelve months. Expiring premium not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