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commodity-cbd-lower</w:t>
      </w:r>
    </w:p>
    <w:p>
      <w:r>
        <w:t>Broker: Acme</w:t>
      </w:r>
    </w:p>
    <w:p>
      <w:r>
        <w:t>Total insured value: 1000000</w:t>
      </w:r>
    </w:p>
    <w:p>
      <w:r>
        <w:t>Commodity: cbd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eyJicm9rZXJfbmFtZSI6IkFjbWUiLCJjb21tb2RpdGllcyI6W3siY29tbW9kaXR5X3R5cGUiOiJjYmQifV0sImxvY2F0aW9ucyI6W3siYWRkcmVzcyI6IjEyIFBvcnQgUm9hZCIsInNwcmlua2xlcmVkIjp0cnVlfV0sInRvdGFsX2luc3VyZWRfdmFsdWUiOjEwMDAwMDB9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