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halt-empty</w:t>
      </w:r>
    </w:p>
    <w:p>
      <w:r>
        <w:t>Broker: not stated</w:t>
      </w:r>
    </w:p>
    <w:p>
      <w:r>
        <w:t>Total insured value: not stated</w:t>
      </w:r>
    </w:p>
    <w:p>
      <w:r>
        <w:t>Commodity: not stated</w:t>
      </w:r>
    </w:p>
    <w:p>
      <w:r>
        <w:t>(none stated)</w:t>
      </w:r>
    </w:p>
    <w:p>
      <w:r>
        <w:t>Expected: ?</w:t>
      </w:r>
    </w:p>
    <w:p>
      <w:r>
        <w:t>SUBMISSION-DATA-B64: e30=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